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D2" w:rsidRDefault="004335D2" w:rsidP="004335D2">
      <w:pPr>
        <w:spacing w:after="0" w:line="240" w:lineRule="auto"/>
        <w:jc w:val="both"/>
        <w:rPr>
          <w:rFonts w:ascii="Times New Roman" w:hAnsi="Times New Roman" w:cs="Times New Roman"/>
          <w:sz w:val="24"/>
          <w:szCs w:val="24"/>
        </w:rPr>
      </w:pPr>
      <w:r w:rsidRPr="006055E0">
        <w:rPr>
          <w:rFonts w:ascii="Times New Roman" w:hAnsi="Times New Roman" w:cs="Times New Roman"/>
          <w:sz w:val="24"/>
          <w:szCs w:val="24"/>
        </w:rPr>
        <w:t>Magdalena Popowska</w:t>
      </w:r>
    </w:p>
    <w:p w:rsidR="004335D2" w:rsidRDefault="004335D2" w:rsidP="004335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Politechnika Gdańska</w:t>
      </w:r>
    </w:p>
    <w:p w:rsidR="004335D2" w:rsidRDefault="004335D2" w:rsidP="004335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Wydział Zarządzania i Ekonomii</w:t>
      </w:r>
    </w:p>
    <w:p w:rsidR="004335D2" w:rsidRPr="002E19D8" w:rsidRDefault="004335D2" w:rsidP="004335D2">
      <w:pPr>
        <w:pStyle w:val="tytulart"/>
        <w:rPr>
          <w:sz w:val="24"/>
          <w:szCs w:val="24"/>
        </w:rPr>
      </w:pPr>
      <w:r w:rsidRPr="002E19D8">
        <w:rPr>
          <w:sz w:val="24"/>
          <w:szCs w:val="24"/>
        </w:rPr>
        <w:t>INTERNACJONALIZACJA UCZELNI WYŻ</w:t>
      </w:r>
      <w:r w:rsidR="00A14029" w:rsidRPr="002E19D8">
        <w:rPr>
          <w:sz w:val="24"/>
          <w:szCs w:val="24"/>
        </w:rPr>
        <w:t xml:space="preserve">SZYCH NA ŚWIECIE I JEJ ATRYBUTY </w:t>
      </w:r>
      <w:r w:rsidRPr="002E19D8">
        <w:rPr>
          <w:sz w:val="24"/>
          <w:szCs w:val="24"/>
        </w:rPr>
        <w:t>A POLSKA RZECZYWISTOŚĆ</w:t>
      </w:r>
    </w:p>
    <w:p w:rsidR="00DF6343" w:rsidRDefault="00DF6343" w:rsidP="00DF6343">
      <w:pPr>
        <w:spacing w:after="0" w:line="240" w:lineRule="auto"/>
        <w:jc w:val="both"/>
        <w:rPr>
          <w:rFonts w:ascii="Times New Roman" w:hAnsi="Times New Roman"/>
          <w:sz w:val="18"/>
          <w:szCs w:val="18"/>
        </w:rPr>
      </w:pPr>
      <w:r w:rsidRPr="004335D2">
        <w:rPr>
          <w:rFonts w:ascii="Times New Roman" w:hAnsi="Times New Roman" w:cs="Times New Roman"/>
          <w:i/>
          <w:sz w:val="18"/>
          <w:szCs w:val="18"/>
          <w:lang w:val="en-US"/>
        </w:rPr>
        <w:t>„The essence of intercultural education is the acquisition of empathy – the ability to see the world as others see it, and to allow for the possibility that others may see something we have failed to see, or may see it more accurately. The simple purpose of the exchange program...is to erode the culturally rooted mistrust that sets nations against one another. The exchange program is not a panacea but an avenue of hope […]”</w:t>
      </w:r>
      <w:r w:rsidRPr="004335D2">
        <w:rPr>
          <w:rFonts w:ascii="Times New Roman" w:hAnsi="Times New Roman" w:cs="Times New Roman"/>
          <w:sz w:val="18"/>
          <w:szCs w:val="18"/>
          <w:lang w:val="en-US"/>
        </w:rPr>
        <w:t xml:space="preserve"> </w:t>
      </w:r>
      <w:r w:rsidRPr="004335D2">
        <w:rPr>
          <w:rFonts w:ascii="Times New Roman" w:hAnsi="Times New Roman"/>
          <w:sz w:val="18"/>
          <w:szCs w:val="18"/>
        </w:rPr>
        <w:t xml:space="preserve">J. William Fulbright, The Prince of </w:t>
      </w:r>
      <w:proofErr w:type="spellStart"/>
      <w:r w:rsidRPr="004335D2">
        <w:rPr>
          <w:rFonts w:ascii="Times New Roman" w:hAnsi="Times New Roman"/>
          <w:sz w:val="18"/>
          <w:szCs w:val="18"/>
        </w:rPr>
        <w:t>Empire</w:t>
      </w:r>
      <w:proofErr w:type="spellEnd"/>
    </w:p>
    <w:p w:rsidR="00DF6343" w:rsidRDefault="00DF6343" w:rsidP="00B9695D">
      <w:pPr>
        <w:spacing w:after="0" w:line="240" w:lineRule="auto"/>
        <w:ind w:left="1077"/>
        <w:jc w:val="both"/>
        <w:rPr>
          <w:rFonts w:ascii="Times New Roman" w:eastAsia="Times New Roman" w:hAnsi="Times New Roman" w:cs="Times New Roman"/>
          <w:b/>
          <w:sz w:val="24"/>
          <w:szCs w:val="20"/>
          <w:lang w:eastAsia="pl-PL"/>
        </w:rPr>
      </w:pPr>
    </w:p>
    <w:p w:rsidR="00B9695D" w:rsidRPr="00B9695D" w:rsidRDefault="004335D2" w:rsidP="00B9695D">
      <w:pPr>
        <w:spacing w:after="0" w:line="240" w:lineRule="auto"/>
        <w:ind w:left="1077"/>
        <w:jc w:val="both"/>
        <w:rPr>
          <w:rFonts w:ascii="Times New Roman" w:hAnsi="Times New Roman" w:cs="Times New Roman"/>
          <w:sz w:val="24"/>
          <w:szCs w:val="24"/>
        </w:rPr>
      </w:pPr>
      <w:r w:rsidRPr="00B9695D">
        <w:rPr>
          <w:rFonts w:ascii="Times New Roman" w:eastAsia="Times New Roman" w:hAnsi="Times New Roman" w:cs="Times New Roman"/>
          <w:b/>
          <w:sz w:val="24"/>
          <w:szCs w:val="20"/>
          <w:lang w:eastAsia="pl-PL"/>
        </w:rPr>
        <w:t>Streszczenie.</w:t>
      </w:r>
      <w:r>
        <w:rPr>
          <w:b/>
        </w:rPr>
        <w:t xml:space="preserve"> </w:t>
      </w:r>
      <w:r w:rsidR="00920528">
        <w:rPr>
          <w:rFonts w:ascii="Times New Roman" w:hAnsi="Times New Roman" w:cs="Times New Roman"/>
          <w:sz w:val="24"/>
          <w:szCs w:val="24"/>
        </w:rPr>
        <w:t>Celem artykułu jest omówienie</w:t>
      </w:r>
      <w:r w:rsidR="00B9695D" w:rsidRPr="00B9695D">
        <w:rPr>
          <w:rFonts w:ascii="Times New Roman" w:hAnsi="Times New Roman" w:cs="Times New Roman"/>
          <w:sz w:val="24"/>
          <w:szCs w:val="24"/>
        </w:rPr>
        <w:t xml:space="preserve"> zjawiska internacjonalizacji szkolnictwa wyższego (SW) zarówno w ujęciu międzynarodowym, jak i z perspektywy polskiej. Jest on wynikiem obserwacji procesu internacjonalizacji zarówno niejako „od środka” organizacji, ale również </w:t>
      </w:r>
      <w:r w:rsidR="00B9695D">
        <w:rPr>
          <w:rFonts w:ascii="Times New Roman" w:hAnsi="Times New Roman" w:cs="Times New Roman"/>
          <w:sz w:val="24"/>
          <w:szCs w:val="24"/>
        </w:rPr>
        <w:t xml:space="preserve">w szerszym ujęciu, </w:t>
      </w:r>
      <w:r w:rsidR="00920528">
        <w:rPr>
          <w:rFonts w:ascii="Times New Roman" w:hAnsi="Times New Roman" w:cs="Times New Roman"/>
          <w:sz w:val="24"/>
          <w:szCs w:val="24"/>
        </w:rPr>
        <w:t>z perspektywy zewnętrznej</w:t>
      </w:r>
      <w:r w:rsidR="00B9695D">
        <w:rPr>
          <w:rFonts w:ascii="Times New Roman" w:hAnsi="Times New Roman" w:cs="Times New Roman"/>
          <w:sz w:val="24"/>
          <w:szCs w:val="24"/>
        </w:rPr>
        <w:t xml:space="preserve">. </w:t>
      </w:r>
      <w:r w:rsidR="00B9695D" w:rsidRPr="00B9695D">
        <w:rPr>
          <w:rFonts w:ascii="Times New Roman" w:hAnsi="Times New Roman" w:cs="Times New Roman"/>
          <w:sz w:val="24"/>
          <w:szCs w:val="24"/>
        </w:rPr>
        <w:t>Przedstawiono w nim argumenty przemawiające za internacjonalizacją SW oraz podstawowe jej formy, jak i ich zastosowanie w praktyce światowych uczelni. W artykule dokonano charakterystyki stanu internacjonalizacji SW w Polsce oraz wskazano podstawowe działania, które powinny zostać wdrożone, aby dość niska pozycja naszego kraju na rynku edukacji międzynarodowej mogła ulec znaczącej poprawie.</w:t>
      </w:r>
      <w:r w:rsidR="00920528">
        <w:rPr>
          <w:rFonts w:ascii="Times New Roman" w:hAnsi="Times New Roman" w:cs="Times New Roman"/>
          <w:sz w:val="24"/>
          <w:szCs w:val="24"/>
        </w:rPr>
        <w:t xml:space="preserve"> Podstawowymi metodami badawczymi jest analiza danych statystycznych oraz dostępnych raportów na temat internacjonalizacji.</w:t>
      </w:r>
    </w:p>
    <w:p w:rsidR="004335D2" w:rsidRDefault="004335D2" w:rsidP="004335D2">
      <w:pPr>
        <w:pStyle w:val="streszangkrotkie"/>
      </w:pPr>
    </w:p>
    <w:p w:rsidR="004335D2" w:rsidRDefault="004335D2" w:rsidP="004335D2">
      <w:pPr>
        <w:pStyle w:val="streszangkrotkie"/>
      </w:pPr>
    </w:p>
    <w:p w:rsidR="004335D2" w:rsidRPr="000935B0" w:rsidRDefault="004335D2" w:rsidP="004335D2">
      <w:pPr>
        <w:pStyle w:val="streszangkrotkie"/>
      </w:pPr>
      <w:r w:rsidRPr="000935B0">
        <w:rPr>
          <w:b/>
        </w:rPr>
        <w:t>Słowa kluczowe:</w:t>
      </w:r>
      <w:r w:rsidRPr="000935B0">
        <w:t xml:space="preserve"> </w:t>
      </w:r>
      <w:r w:rsidR="00B9695D">
        <w:t>internacjonalizacja, szkolnictwo wyższe, uczelnia</w:t>
      </w:r>
    </w:p>
    <w:p w:rsidR="004335D2" w:rsidRPr="002E19D8" w:rsidRDefault="00B9695D" w:rsidP="004335D2">
      <w:pPr>
        <w:pStyle w:val="tytulartang"/>
        <w:rPr>
          <w:sz w:val="24"/>
          <w:szCs w:val="24"/>
          <w:lang w:val="en-US"/>
        </w:rPr>
      </w:pPr>
      <w:r w:rsidRPr="002E19D8">
        <w:rPr>
          <w:sz w:val="24"/>
          <w:szCs w:val="24"/>
          <w:lang w:val="en-US"/>
        </w:rPr>
        <w:t xml:space="preserve">INTERNATIONALIZATION OF THE HE INSTITUTIONS </w:t>
      </w:r>
      <w:r w:rsidR="00A14029" w:rsidRPr="002E19D8">
        <w:rPr>
          <w:sz w:val="24"/>
          <w:szCs w:val="24"/>
          <w:lang w:val="en-US"/>
        </w:rPr>
        <w:t>WORLWIDE, ITS ATTRIBUTES AND POLISH REALITY</w:t>
      </w:r>
    </w:p>
    <w:p w:rsidR="00A14029" w:rsidRPr="00A14029" w:rsidRDefault="004335D2" w:rsidP="00A14029">
      <w:pPr>
        <w:pStyle w:val="streszangkrotkie"/>
        <w:ind w:left="1077" w:firstLine="0"/>
        <w:rPr>
          <w:rFonts w:eastAsiaTheme="minorHAnsi"/>
          <w:szCs w:val="24"/>
          <w:lang w:val="en-US" w:eastAsia="en-US"/>
        </w:rPr>
      </w:pPr>
      <w:r w:rsidRPr="00920528">
        <w:rPr>
          <w:b/>
          <w:lang w:val="en-US"/>
        </w:rPr>
        <w:t xml:space="preserve">Summary. </w:t>
      </w:r>
      <w:r w:rsidR="00A14029" w:rsidRPr="00A14029">
        <w:rPr>
          <w:rFonts w:eastAsiaTheme="minorHAnsi"/>
          <w:szCs w:val="24"/>
          <w:lang w:val="en-US" w:eastAsia="en-US"/>
        </w:rPr>
        <w:t xml:space="preserve">The </w:t>
      </w:r>
      <w:r w:rsidR="00A14029">
        <w:rPr>
          <w:rFonts w:eastAsiaTheme="minorHAnsi"/>
          <w:szCs w:val="24"/>
          <w:lang w:val="en-US" w:eastAsia="en-US"/>
        </w:rPr>
        <w:t>paper</w:t>
      </w:r>
      <w:r w:rsidR="00A14029" w:rsidRPr="00A14029">
        <w:rPr>
          <w:rFonts w:eastAsiaTheme="minorHAnsi"/>
          <w:szCs w:val="24"/>
          <w:lang w:val="en-US" w:eastAsia="en-US"/>
        </w:rPr>
        <w:t xml:space="preserve"> a</w:t>
      </w:r>
      <w:r w:rsidR="00920528">
        <w:rPr>
          <w:rFonts w:eastAsiaTheme="minorHAnsi"/>
          <w:szCs w:val="24"/>
          <w:lang w:val="en-US" w:eastAsia="en-US"/>
        </w:rPr>
        <w:t>ims</w:t>
      </w:r>
      <w:r w:rsidR="00A14029" w:rsidRPr="00A14029">
        <w:rPr>
          <w:rFonts w:eastAsiaTheme="minorHAnsi"/>
          <w:szCs w:val="24"/>
          <w:lang w:val="en-US" w:eastAsia="en-US"/>
        </w:rPr>
        <w:t xml:space="preserve"> to discuss the phenomenon of internationalization of higher education (</w:t>
      </w:r>
      <w:r w:rsidR="00A14029">
        <w:rPr>
          <w:rFonts w:eastAsiaTheme="minorHAnsi"/>
          <w:szCs w:val="24"/>
          <w:lang w:val="en-US" w:eastAsia="en-US"/>
        </w:rPr>
        <w:t>HE</w:t>
      </w:r>
      <w:r w:rsidR="00A14029" w:rsidRPr="00A14029">
        <w:rPr>
          <w:rFonts w:eastAsiaTheme="minorHAnsi"/>
          <w:szCs w:val="24"/>
          <w:lang w:val="en-US" w:eastAsia="en-US"/>
        </w:rPr>
        <w:t>) both</w:t>
      </w:r>
      <w:r w:rsidR="00A14029">
        <w:rPr>
          <w:rFonts w:eastAsiaTheme="minorHAnsi"/>
          <w:szCs w:val="24"/>
          <w:lang w:val="en-US" w:eastAsia="en-US"/>
        </w:rPr>
        <w:t>,</w:t>
      </w:r>
      <w:r w:rsidR="00A14029" w:rsidRPr="00A14029">
        <w:rPr>
          <w:rFonts w:eastAsiaTheme="minorHAnsi"/>
          <w:szCs w:val="24"/>
          <w:lang w:val="en-US" w:eastAsia="en-US"/>
        </w:rPr>
        <w:t xml:space="preserve"> </w:t>
      </w:r>
      <w:r w:rsidR="00A14029">
        <w:rPr>
          <w:rFonts w:eastAsiaTheme="minorHAnsi"/>
          <w:szCs w:val="24"/>
          <w:lang w:val="en-US" w:eastAsia="en-US"/>
        </w:rPr>
        <w:t xml:space="preserve">from </w:t>
      </w:r>
      <w:r w:rsidR="00A14029" w:rsidRPr="00A14029">
        <w:rPr>
          <w:rFonts w:eastAsiaTheme="minorHAnsi"/>
          <w:szCs w:val="24"/>
          <w:lang w:val="en-US" w:eastAsia="en-US"/>
        </w:rPr>
        <w:t xml:space="preserve">international </w:t>
      </w:r>
      <w:r w:rsidR="00A14029">
        <w:rPr>
          <w:rFonts w:eastAsiaTheme="minorHAnsi"/>
          <w:szCs w:val="24"/>
          <w:lang w:val="en-US" w:eastAsia="en-US"/>
        </w:rPr>
        <w:t>and</w:t>
      </w:r>
      <w:r w:rsidR="00A14029" w:rsidRPr="00A14029">
        <w:rPr>
          <w:rFonts w:eastAsiaTheme="minorHAnsi"/>
          <w:szCs w:val="24"/>
          <w:lang w:val="en-US" w:eastAsia="en-US"/>
        </w:rPr>
        <w:t xml:space="preserve"> from Polish perspective. It is the result of observation of the internationalization process </w:t>
      </w:r>
      <w:r w:rsidR="00A14029">
        <w:rPr>
          <w:rFonts w:eastAsiaTheme="minorHAnsi"/>
          <w:szCs w:val="24"/>
          <w:lang w:val="en-US" w:eastAsia="en-US"/>
        </w:rPr>
        <w:t>"from</w:t>
      </w:r>
      <w:r w:rsidR="00A14029" w:rsidRPr="00A14029">
        <w:rPr>
          <w:rFonts w:eastAsiaTheme="minorHAnsi"/>
          <w:szCs w:val="24"/>
          <w:lang w:val="en-US" w:eastAsia="en-US"/>
        </w:rPr>
        <w:t xml:space="preserve"> inside" of the organization, but also in a broader sense</w:t>
      </w:r>
      <w:r w:rsidR="00A14029">
        <w:rPr>
          <w:rFonts w:eastAsiaTheme="minorHAnsi"/>
          <w:szCs w:val="24"/>
          <w:lang w:val="en-US" w:eastAsia="en-US"/>
        </w:rPr>
        <w:t>, from the “external” point of view</w:t>
      </w:r>
      <w:r w:rsidR="00A14029" w:rsidRPr="00A14029">
        <w:rPr>
          <w:rFonts w:eastAsiaTheme="minorHAnsi"/>
          <w:szCs w:val="24"/>
          <w:lang w:val="en-US" w:eastAsia="en-US"/>
        </w:rPr>
        <w:t>. It presents arguments for internationalization of HE and its basic form</w:t>
      </w:r>
      <w:r w:rsidR="00A14029">
        <w:rPr>
          <w:rFonts w:eastAsiaTheme="minorHAnsi"/>
          <w:szCs w:val="24"/>
          <w:lang w:val="en-US" w:eastAsia="en-US"/>
        </w:rPr>
        <w:t>s</w:t>
      </w:r>
      <w:r w:rsidR="00A14029" w:rsidRPr="00A14029">
        <w:rPr>
          <w:rFonts w:eastAsiaTheme="minorHAnsi"/>
          <w:szCs w:val="24"/>
          <w:lang w:val="en-US" w:eastAsia="en-US"/>
        </w:rPr>
        <w:t>, as well as their application in practice of world universities. The article presents also the characteristics of the internationalization</w:t>
      </w:r>
      <w:r w:rsidR="00A14029">
        <w:rPr>
          <w:rFonts w:eastAsiaTheme="minorHAnsi"/>
          <w:szCs w:val="24"/>
          <w:lang w:val="en-US" w:eastAsia="en-US"/>
        </w:rPr>
        <w:t xml:space="preserve"> situation</w:t>
      </w:r>
      <w:r w:rsidR="00A14029" w:rsidRPr="00A14029">
        <w:rPr>
          <w:rFonts w:eastAsiaTheme="minorHAnsi"/>
          <w:szCs w:val="24"/>
          <w:lang w:val="en-US" w:eastAsia="en-US"/>
        </w:rPr>
        <w:t xml:space="preserve"> in Poland and identifies key actions that should be implemented to </w:t>
      </w:r>
      <w:r w:rsidR="00A14029">
        <w:rPr>
          <w:rFonts w:eastAsiaTheme="minorHAnsi"/>
          <w:szCs w:val="24"/>
          <w:lang w:val="en-US" w:eastAsia="en-US"/>
        </w:rPr>
        <w:t xml:space="preserve">improve </w:t>
      </w:r>
      <w:r w:rsidR="00A14029" w:rsidRPr="00A14029">
        <w:rPr>
          <w:rFonts w:eastAsiaTheme="minorHAnsi"/>
          <w:szCs w:val="24"/>
          <w:lang w:val="en-US" w:eastAsia="en-US"/>
        </w:rPr>
        <w:t>very low position of our country on the international education market.</w:t>
      </w:r>
      <w:r w:rsidR="00920528">
        <w:rPr>
          <w:rFonts w:eastAsiaTheme="minorHAnsi"/>
          <w:szCs w:val="24"/>
          <w:lang w:val="en-US" w:eastAsia="en-US"/>
        </w:rPr>
        <w:t xml:space="preserve"> </w:t>
      </w:r>
      <w:r w:rsidR="00920528" w:rsidRPr="00920528">
        <w:rPr>
          <w:rFonts w:eastAsiaTheme="minorHAnsi"/>
          <w:szCs w:val="24"/>
          <w:lang w:val="en-US" w:eastAsia="en-US"/>
        </w:rPr>
        <w:t xml:space="preserve">The basic research </w:t>
      </w:r>
      <w:r w:rsidR="00920528">
        <w:rPr>
          <w:rFonts w:eastAsiaTheme="minorHAnsi"/>
          <w:szCs w:val="24"/>
          <w:lang w:val="en-US" w:eastAsia="en-US"/>
        </w:rPr>
        <w:t>methods are</w:t>
      </w:r>
      <w:r w:rsidR="00920528" w:rsidRPr="00920528">
        <w:rPr>
          <w:rFonts w:eastAsiaTheme="minorHAnsi"/>
          <w:szCs w:val="24"/>
          <w:lang w:val="en-US" w:eastAsia="en-US"/>
        </w:rPr>
        <w:t xml:space="preserve"> the analysis of statistical data and</w:t>
      </w:r>
      <w:r w:rsidR="00920528">
        <w:rPr>
          <w:rFonts w:eastAsiaTheme="minorHAnsi"/>
          <w:szCs w:val="24"/>
          <w:lang w:val="en-US" w:eastAsia="en-US"/>
        </w:rPr>
        <w:t xml:space="preserve"> of the</w:t>
      </w:r>
      <w:r w:rsidR="00920528" w:rsidRPr="00920528">
        <w:rPr>
          <w:rFonts w:eastAsiaTheme="minorHAnsi"/>
          <w:szCs w:val="24"/>
          <w:lang w:val="en-US" w:eastAsia="en-US"/>
        </w:rPr>
        <w:t xml:space="preserve"> reports available on the internationalization.</w:t>
      </w:r>
    </w:p>
    <w:p w:rsidR="004335D2" w:rsidRPr="00A14029" w:rsidRDefault="00A14029" w:rsidP="004335D2">
      <w:pPr>
        <w:pStyle w:val="streszangkrotkie"/>
        <w:rPr>
          <w:lang w:val="en-US"/>
        </w:rPr>
      </w:pPr>
      <w:r w:rsidRPr="00A14029">
        <w:rPr>
          <w:lang w:val="en-US"/>
        </w:rPr>
        <w:t xml:space="preserve"> </w:t>
      </w:r>
    </w:p>
    <w:p w:rsidR="004335D2" w:rsidRPr="00A14029" w:rsidRDefault="004335D2" w:rsidP="004335D2">
      <w:pPr>
        <w:pStyle w:val="streszangkrotkie"/>
        <w:rPr>
          <w:lang w:val="en-US"/>
        </w:rPr>
      </w:pPr>
      <w:r w:rsidRPr="00A14029">
        <w:rPr>
          <w:b/>
          <w:lang w:val="en-US"/>
        </w:rPr>
        <w:t>Key words:</w:t>
      </w:r>
      <w:r w:rsidRPr="00A14029">
        <w:rPr>
          <w:lang w:val="en-US"/>
        </w:rPr>
        <w:t xml:space="preserve"> </w:t>
      </w:r>
      <w:r w:rsidR="00554756" w:rsidRPr="00A14029">
        <w:rPr>
          <w:lang w:val="en-US"/>
        </w:rPr>
        <w:t>internationalization</w:t>
      </w:r>
      <w:r w:rsidR="00A14029" w:rsidRPr="00A14029">
        <w:rPr>
          <w:lang w:val="en-US"/>
        </w:rPr>
        <w:t>, higher education, university</w:t>
      </w:r>
    </w:p>
    <w:p w:rsidR="00606478" w:rsidRPr="00DF6343" w:rsidRDefault="00DF6343" w:rsidP="00DF6343">
      <w:pPr>
        <w:pStyle w:val="Nagwek1"/>
      </w:pPr>
      <w:r>
        <w:lastRenderedPageBreak/>
        <w:t>Wprowadzenie</w:t>
      </w:r>
    </w:p>
    <w:p w:rsidR="00DF6343" w:rsidRDefault="00910C0C" w:rsidP="00DF6343">
      <w:pPr>
        <w:spacing w:after="0" w:line="360" w:lineRule="auto"/>
        <w:ind w:firstLine="363"/>
        <w:jc w:val="both"/>
        <w:rPr>
          <w:rFonts w:ascii="Times New Roman" w:hAnsi="Times New Roman" w:cs="Times New Roman"/>
          <w:sz w:val="24"/>
          <w:szCs w:val="24"/>
        </w:rPr>
      </w:pPr>
      <w:r w:rsidRPr="006055E0">
        <w:rPr>
          <w:rFonts w:ascii="Times New Roman" w:hAnsi="Times New Roman" w:cs="Times New Roman"/>
          <w:sz w:val="24"/>
          <w:szCs w:val="24"/>
        </w:rPr>
        <w:t>Internacjonalizacja jest bardzo ważnym i szeroko dyskutowanym</w:t>
      </w:r>
      <w:r w:rsidR="008F668B">
        <w:rPr>
          <w:rFonts w:ascii="Times New Roman" w:hAnsi="Times New Roman" w:cs="Times New Roman"/>
          <w:sz w:val="24"/>
          <w:szCs w:val="24"/>
        </w:rPr>
        <w:t xml:space="preserve"> obecnie</w:t>
      </w:r>
      <w:r w:rsidRPr="006055E0">
        <w:rPr>
          <w:rFonts w:ascii="Times New Roman" w:hAnsi="Times New Roman" w:cs="Times New Roman"/>
          <w:sz w:val="24"/>
          <w:szCs w:val="24"/>
        </w:rPr>
        <w:t xml:space="preserve"> zjawiskiem w szkolnictwie wyższym, obejmującym szereg działań realizowanych na poziomie centralnym, ministerialnym</w:t>
      </w:r>
      <w:r w:rsidR="006067B3">
        <w:rPr>
          <w:rFonts w:ascii="Times New Roman" w:hAnsi="Times New Roman" w:cs="Times New Roman"/>
          <w:sz w:val="24"/>
          <w:szCs w:val="24"/>
        </w:rPr>
        <w:t xml:space="preserve"> – </w:t>
      </w:r>
      <w:r w:rsidRPr="006055E0">
        <w:rPr>
          <w:rFonts w:ascii="Times New Roman" w:hAnsi="Times New Roman" w:cs="Times New Roman"/>
          <w:sz w:val="24"/>
          <w:szCs w:val="24"/>
        </w:rPr>
        <w:t>a więc polityki</w:t>
      </w:r>
      <w:r w:rsidR="00F36F02">
        <w:rPr>
          <w:rFonts w:ascii="Times New Roman" w:hAnsi="Times New Roman" w:cs="Times New Roman"/>
          <w:sz w:val="24"/>
          <w:szCs w:val="24"/>
        </w:rPr>
        <w:t xml:space="preserve"> – </w:t>
      </w:r>
      <w:r w:rsidRPr="006055E0">
        <w:rPr>
          <w:rFonts w:ascii="Times New Roman" w:hAnsi="Times New Roman" w:cs="Times New Roman"/>
          <w:sz w:val="24"/>
          <w:szCs w:val="24"/>
        </w:rPr>
        <w:t xml:space="preserve">oraz </w:t>
      </w:r>
      <w:r w:rsidR="006067B3">
        <w:rPr>
          <w:rFonts w:ascii="Times New Roman" w:hAnsi="Times New Roman" w:cs="Times New Roman"/>
          <w:sz w:val="24"/>
          <w:szCs w:val="24"/>
        </w:rPr>
        <w:t xml:space="preserve">na poziomie </w:t>
      </w:r>
      <w:r w:rsidRPr="006055E0">
        <w:rPr>
          <w:rFonts w:ascii="Times New Roman" w:hAnsi="Times New Roman" w:cs="Times New Roman"/>
          <w:sz w:val="24"/>
          <w:szCs w:val="24"/>
        </w:rPr>
        <w:t xml:space="preserve">poszczególnych uczelni, </w:t>
      </w:r>
      <w:r w:rsidR="006067B3">
        <w:rPr>
          <w:rFonts w:ascii="Times New Roman" w:hAnsi="Times New Roman" w:cs="Times New Roman"/>
          <w:sz w:val="24"/>
          <w:szCs w:val="24"/>
        </w:rPr>
        <w:t xml:space="preserve">na którym działania te </w:t>
      </w:r>
      <w:r w:rsidRPr="006055E0">
        <w:rPr>
          <w:rFonts w:ascii="Times New Roman" w:hAnsi="Times New Roman" w:cs="Times New Roman"/>
          <w:sz w:val="24"/>
          <w:szCs w:val="24"/>
        </w:rPr>
        <w:t xml:space="preserve">znajdują swoje odzwierciedlenie w strategiach. </w:t>
      </w:r>
      <w:r w:rsidR="006067B3">
        <w:rPr>
          <w:rFonts w:ascii="Times New Roman" w:hAnsi="Times New Roman" w:cs="Times New Roman"/>
          <w:sz w:val="24"/>
          <w:szCs w:val="24"/>
        </w:rPr>
        <w:t>Internacjonalizacja</w:t>
      </w:r>
      <w:r w:rsidR="00B833EC">
        <w:rPr>
          <w:rFonts w:ascii="Times New Roman" w:hAnsi="Times New Roman" w:cs="Times New Roman"/>
          <w:sz w:val="24"/>
          <w:szCs w:val="24"/>
        </w:rPr>
        <w:t xml:space="preserve"> edukacji</w:t>
      </w:r>
      <w:r w:rsidR="006067B3">
        <w:rPr>
          <w:rFonts w:ascii="Times New Roman" w:hAnsi="Times New Roman" w:cs="Times New Roman"/>
          <w:sz w:val="24"/>
          <w:szCs w:val="24"/>
        </w:rPr>
        <w:t xml:space="preserve"> n</w:t>
      </w:r>
      <w:r w:rsidRPr="006055E0">
        <w:rPr>
          <w:rFonts w:ascii="Times New Roman" w:hAnsi="Times New Roman" w:cs="Times New Roman"/>
          <w:sz w:val="24"/>
          <w:szCs w:val="24"/>
        </w:rPr>
        <w:t xml:space="preserve">ie jest jednak </w:t>
      </w:r>
      <w:r w:rsidR="00AA3FEE" w:rsidRPr="006055E0">
        <w:rPr>
          <w:rFonts w:ascii="Times New Roman" w:hAnsi="Times New Roman" w:cs="Times New Roman"/>
          <w:sz w:val="24"/>
          <w:szCs w:val="24"/>
        </w:rPr>
        <w:t>zjaw</w:t>
      </w:r>
      <w:r w:rsidR="004B55A6" w:rsidRPr="006055E0">
        <w:rPr>
          <w:rFonts w:ascii="Times New Roman" w:hAnsi="Times New Roman" w:cs="Times New Roman"/>
          <w:sz w:val="24"/>
          <w:szCs w:val="24"/>
        </w:rPr>
        <w:t xml:space="preserve">iskiem nowym. Już w </w:t>
      </w:r>
      <w:r w:rsidR="000A7CAA" w:rsidRPr="006055E0">
        <w:rPr>
          <w:rFonts w:ascii="Times New Roman" w:hAnsi="Times New Roman" w:cs="Times New Roman"/>
          <w:sz w:val="24"/>
          <w:szCs w:val="24"/>
        </w:rPr>
        <w:t>średniowieczu</w:t>
      </w:r>
      <w:r w:rsidR="004B55A6" w:rsidRPr="006055E0">
        <w:rPr>
          <w:rFonts w:ascii="Times New Roman" w:hAnsi="Times New Roman" w:cs="Times New Roman"/>
          <w:sz w:val="24"/>
          <w:szCs w:val="24"/>
        </w:rPr>
        <w:t xml:space="preserve"> najwięks</w:t>
      </w:r>
      <w:r w:rsidR="00774D19" w:rsidRPr="006055E0">
        <w:rPr>
          <w:rFonts w:ascii="Times New Roman" w:hAnsi="Times New Roman" w:cs="Times New Roman"/>
          <w:sz w:val="24"/>
          <w:szCs w:val="24"/>
        </w:rPr>
        <w:t>i uczeni</w:t>
      </w:r>
      <w:r w:rsidR="00A21F90" w:rsidRPr="006055E0">
        <w:rPr>
          <w:rFonts w:ascii="Times New Roman" w:hAnsi="Times New Roman" w:cs="Times New Roman"/>
          <w:sz w:val="24"/>
          <w:szCs w:val="24"/>
        </w:rPr>
        <w:t xml:space="preserve">, </w:t>
      </w:r>
      <w:r w:rsidR="006067B3">
        <w:rPr>
          <w:rFonts w:ascii="Times New Roman" w:hAnsi="Times New Roman" w:cs="Times New Roman"/>
          <w:sz w:val="24"/>
          <w:szCs w:val="24"/>
        </w:rPr>
        <w:t>poszukując</w:t>
      </w:r>
      <w:r w:rsidR="00A21F90" w:rsidRPr="006055E0">
        <w:rPr>
          <w:rFonts w:ascii="Times New Roman" w:hAnsi="Times New Roman" w:cs="Times New Roman"/>
          <w:sz w:val="24"/>
          <w:szCs w:val="24"/>
        </w:rPr>
        <w:t xml:space="preserve"> wiedzy</w:t>
      </w:r>
      <w:r w:rsidR="005D33FE">
        <w:rPr>
          <w:rFonts w:ascii="Times New Roman" w:hAnsi="Times New Roman" w:cs="Times New Roman"/>
          <w:sz w:val="24"/>
          <w:szCs w:val="24"/>
        </w:rPr>
        <w:t xml:space="preserve">, </w:t>
      </w:r>
      <w:r w:rsidR="00A21F90" w:rsidRPr="006055E0">
        <w:rPr>
          <w:rFonts w:ascii="Times New Roman" w:hAnsi="Times New Roman" w:cs="Times New Roman"/>
          <w:sz w:val="24"/>
          <w:szCs w:val="24"/>
        </w:rPr>
        <w:t>kontaktu z innymi w</w:t>
      </w:r>
      <w:r w:rsidR="005D33FE">
        <w:rPr>
          <w:rFonts w:ascii="Times New Roman" w:hAnsi="Times New Roman" w:cs="Times New Roman"/>
          <w:sz w:val="24"/>
          <w:szCs w:val="24"/>
        </w:rPr>
        <w:t xml:space="preserve">ybitnymi </w:t>
      </w:r>
      <w:r w:rsidR="00A21F90" w:rsidRPr="006055E0">
        <w:rPr>
          <w:rFonts w:ascii="Times New Roman" w:hAnsi="Times New Roman" w:cs="Times New Roman"/>
          <w:sz w:val="24"/>
          <w:szCs w:val="24"/>
        </w:rPr>
        <w:t>umysłami</w:t>
      </w:r>
      <w:r w:rsidR="005D33FE">
        <w:rPr>
          <w:rFonts w:ascii="Times New Roman" w:hAnsi="Times New Roman" w:cs="Times New Roman"/>
          <w:sz w:val="24"/>
          <w:szCs w:val="24"/>
        </w:rPr>
        <w:t xml:space="preserve"> i </w:t>
      </w:r>
      <w:r w:rsidR="005D33FE" w:rsidRPr="006055E0">
        <w:rPr>
          <w:rFonts w:ascii="Times New Roman" w:hAnsi="Times New Roman" w:cs="Times New Roman"/>
          <w:sz w:val="24"/>
          <w:szCs w:val="24"/>
        </w:rPr>
        <w:t>inspiracji do pracy twórczej</w:t>
      </w:r>
      <w:r w:rsidR="00A21F90" w:rsidRPr="006055E0">
        <w:rPr>
          <w:rFonts w:ascii="Times New Roman" w:hAnsi="Times New Roman" w:cs="Times New Roman"/>
          <w:sz w:val="24"/>
          <w:szCs w:val="24"/>
        </w:rPr>
        <w:t>,</w:t>
      </w:r>
      <w:r w:rsidR="00774D19" w:rsidRPr="006055E0">
        <w:rPr>
          <w:rFonts w:ascii="Times New Roman" w:hAnsi="Times New Roman" w:cs="Times New Roman"/>
          <w:sz w:val="24"/>
          <w:szCs w:val="24"/>
        </w:rPr>
        <w:t xml:space="preserve"> migrowali</w:t>
      </w:r>
      <w:r w:rsidR="004B55A6" w:rsidRPr="006055E0">
        <w:rPr>
          <w:rFonts w:ascii="Times New Roman" w:hAnsi="Times New Roman" w:cs="Times New Roman"/>
          <w:sz w:val="24"/>
          <w:szCs w:val="24"/>
        </w:rPr>
        <w:t xml:space="preserve"> </w:t>
      </w:r>
      <w:r w:rsidR="00F67B3C" w:rsidRPr="006055E0">
        <w:rPr>
          <w:rFonts w:ascii="Times New Roman" w:hAnsi="Times New Roman" w:cs="Times New Roman"/>
          <w:sz w:val="24"/>
          <w:szCs w:val="24"/>
        </w:rPr>
        <w:t>po całej Europie</w:t>
      </w:r>
      <w:r w:rsidRPr="006055E0">
        <w:rPr>
          <w:rFonts w:ascii="Times New Roman" w:hAnsi="Times New Roman" w:cs="Times New Roman"/>
          <w:sz w:val="24"/>
          <w:szCs w:val="24"/>
        </w:rPr>
        <w:t xml:space="preserve">. Dzisiaj </w:t>
      </w:r>
      <w:r w:rsidR="005D33FE">
        <w:rPr>
          <w:rFonts w:ascii="Times New Roman" w:hAnsi="Times New Roman" w:cs="Times New Roman"/>
          <w:sz w:val="24"/>
          <w:szCs w:val="24"/>
        </w:rPr>
        <w:t xml:space="preserve">pojęcie </w:t>
      </w:r>
      <w:r w:rsidR="004B55A6" w:rsidRPr="006055E0">
        <w:rPr>
          <w:rFonts w:ascii="Times New Roman" w:hAnsi="Times New Roman" w:cs="Times New Roman"/>
          <w:sz w:val="24"/>
          <w:szCs w:val="24"/>
        </w:rPr>
        <w:t xml:space="preserve">to zyskuje wiele różnych znaczeń, </w:t>
      </w:r>
      <w:r w:rsidR="00F67B3C">
        <w:rPr>
          <w:rFonts w:ascii="Times New Roman" w:hAnsi="Times New Roman" w:cs="Times New Roman"/>
          <w:sz w:val="24"/>
          <w:szCs w:val="24"/>
        </w:rPr>
        <w:t xml:space="preserve">związanych z działaniami, które stają się </w:t>
      </w:r>
      <w:r w:rsidR="004B55A6" w:rsidRPr="006055E0">
        <w:rPr>
          <w:rFonts w:ascii="Times New Roman" w:hAnsi="Times New Roman" w:cs="Times New Roman"/>
          <w:sz w:val="24"/>
          <w:szCs w:val="24"/>
        </w:rPr>
        <w:t>możliw</w:t>
      </w:r>
      <w:r w:rsidR="00F67B3C">
        <w:rPr>
          <w:rFonts w:ascii="Times New Roman" w:hAnsi="Times New Roman" w:cs="Times New Roman"/>
          <w:sz w:val="24"/>
          <w:szCs w:val="24"/>
        </w:rPr>
        <w:t>e</w:t>
      </w:r>
      <w:r w:rsidR="004B55A6" w:rsidRPr="006055E0">
        <w:rPr>
          <w:rFonts w:ascii="Times New Roman" w:hAnsi="Times New Roman" w:cs="Times New Roman"/>
          <w:sz w:val="24"/>
          <w:szCs w:val="24"/>
        </w:rPr>
        <w:t xml:space="preserve"> dzięki rozwojowi technologicznemu, głównie w dziedzinie komunikacji </w:t>
      </w:r>
      <w:r w:rsidR="00252FA7" w:rsidRPr="006055E0">
        <w:rPr>
          <w:rFonts w:ascii="Times New Roman" w:hAnsi="Times New Roman" w:cs="Times New Roman"/>
          <w:sz w:val="24"/>
          <w:szCs w:val="24"/>
        </w:rPr>
        <w:t>na odległość.</w:t>
      </w:r>
    </w:p>
    <w:p w:rsidR="00DF6343" w:rsidRDefault="00EC3867" w:rsidP="00DF6343">
      <w:pPr>
        <w:spacing w:after="0" w:line="360" w:lineRule="auto"/>
        <w:ind w:firstLine="363"/>
        <w:jc w:val="both"/>
        <w:rPr>
          <w:rFonts w:ascii="Times New Roman" w:hAnsi="Times New Roman" w:cs="Times New Roman"/>
          <w:sz w:val="24"/>
          <w:szCs w:val="24"/>
        </w:rPr>
      </w:pPr>
      <w:r w:rsidRPr="006055E0">
        <w:rPr>
          <w:rFonts w:ascii="Times New Roman" w:hAnsi="Times New Roman" w:cs="Times New Roman"/>
          <w:sz w:val="24"/>
          <w:szCs w:val="24"/>
        </w:rPr>
        <w:t xml:space="preserve">Na świecie proces internacjonalizacji szkolnictwa wyższego rozpoczął się wraz z dużymi migracjami studentów z Azji pod koniec lat 70. </w:t>
      </w:r>
      <w:r w:rsidR="00F36F02">
        <w:rPr>
          <w:rFonts w:ascii="Times New Roman" w:hAnsi="Times New Roman" w:cs="Times New Roman"/>
          <w:sz w:val="24"/>
          <w:szCs w:val="24"/>
        </w:rPr>
        <w:t xml:space="preserve">XX wieku. </w:t>
      </w:r>
      <w:r w:rsidRPr="006055E0">
        <w:rPr>
          <w:rFonts w:ascii="Times New Roman" w:hAnsi="Times New Roman" w:cs="Times New Roman"/>
          <w:sz w:val="24"/>
          <w:szCs w:val="24"/>
        </w:rPr>
        <w:t xml:space="preserve">Wielka Brytania, Australia i Stany Zjednoczone dzięki powszechności użycia języka angielskiego szybko stały się światowymi liderami internacjonalizacji. W Europie kontynentalnej proces ten </w:t>
      </w:r>
      <w:r w:rsidR="00F36F02">
        <w:rPr>
          <w:rFonts w:ascii="Times New Roman" w:hAnsi="Times New Roman" w:cs="Times New Roman"/>
          <w:sz w:val="24"/>
          <w:szCs w:val="24"/>
        </w:rPr>
        <w:t>zaczął</w:t>
      </w:r>
      <w:r w:rsidR="00F36F02" w:rsidRPr="006055E0">
        <w:rPr>
          <w:rFonts w:ascii="Times New Roman" w:hAnsi="Times New Roman" w:cs="Times New Roman"/>
          <w:sz w:val="24"/>
          <w:szCs w:val="24"/>
        </w:rPr>
        <w:t xml:space="preserve"> </w:t>
      </w:r>
      <w:r w:rsidRPr="006055E0">
        <w:rPr>
          <w:rFonts w:ascii="Times New Roman" w:hAnsi="Times New Roman" w:cs="Times New Roman"/>
          <w:sz w:val="24"/>
          <w:szCs w:val="24"/>
        </w:rPr>
        <w:t>się nieco później</w:t>
      </w:r>
      <w:r w:rsidR="00F36F02">
        <w:rPr>
          <w:rFonts w:ascii="Times New Roman" w:hAnsi="Times New Roman" w:cs="Times New Roman"/>
          <w:sz w:val="24"/>
          <w:szCs w:val="24"/>
        </w:rPr>
        <w:t>, a p</w:t>
      </w:r>
      <w:r w:rsidRPr="006055E0">
        <w:rPr>
          <w:rFonts w:ascii="Times New Roman" w:hAnsi="Times New Roman" w:cs="Times New Roman"/>
          <w:sz w:val="24"/>
          <w:szCs w:val="24"/>
        </w:rPr>
        <w:t>o roku 1989 ruchy związane z internacjonalizacją rozpoczęły się również w Polsce.</w:t>
      </w:r>
      <w:r w:rsidR="00101D4E" w:rsidRPr="006055E0">
        <w:rPr>
          <w:rFonts w:ascii="Times New Roman" w:hAnsi="Times New Roman" w:cs="Times New Roman"/>
          <w:sz w:val="24"/>
          <w:szCs w:val="24"/>
        </w:rPr>
        <w:t xml:space="preserve"> Obecnie na świecie poza granicami swojego kraju ucz</w:t>
      </w:r>
      <w:r w:rsidR="00AD54FE">
        <w:rPr>
          <w:rFonts w:ascii="Times New Roman" w:hAnsi="Times New Roman" w:cs="Times New Roman"/>
          <w:sz w:val="24"/>
          <w:szCs w:val="24"/>
        </w:rPr>
        <w:t>y</w:t>
      </w:r>
      <w:r w:rsidR="00101D4E" w:rsidRPr="006055E0">
        <w:rPr>
          <w:rFonts w:ascii="Times New Roman" w:hAnsi="Times New Roman" w:cs="Times New Roman"/>
          <w:sz w:val="24"/>
          <w:szCs w:val="24"/>
        </w:rPr>
        <w:t xml:space="preserve"> się </w:t>
      </w:r>
      <w:r w:rsidR="00AD54FE">
        <w:rPr>
          <w:rFonts w:ascii="Times New Roman" w:hAnsi="Times New Roman" w:cs="Times New Roman"/>
          <w:sz w:val="24"/>
          <w:szCs w:val="24"/>
        </w:rPr>
        <w:t>blisko 5 milionów</w:t>
      </w:r>
      <w:r w:rsidR="00101D4E" w:rsidRPr="006055E0">
        <w:rPr>
          <w:rFonts w:ascii="Times New Roman" w:hAnsi="Times New Roman" w:cs="Times New Roman"/>
          <w:sz w:val="24"/>
          <w:szCs w:val="24"/>
        </w:rPr>
        <w:t xml:space="preserve"> studentów</w:t>
      </w:r>
      <w:r w:rsidR="00DF6343">
        <w:rPr>
          <w:rFonts w:ascii="Times New Roman" w:hAnsi="Times New Roman" w:cs="Times New Roman"/>
          <w:sz w:val="24"/>
          <w:szCs w:val="24"/>
        </w:rPr>
        <w:t xml:space="preserve"> (OECD, 2014)</w:t>
      </w:r>
      <w:r w:rsidR="00101D4E" w:rsidRPr="006055E0">
        <w:rPr>
          <w:rFonts w:ascii="Times New Roman" w:hAnsi="Times New Roman" w:cs="Times New Roman"/>
          <w:sz w:val="24"/>
          <w:szCs w:val="24"/>
        </w:rPr>
        <w:t>.</w:t>
      </w:r>
    </w:p>
    <w:p w:rsidR="00554756" w:rsidRDefault="00AD0279" w:rsidP="00554756">
      <w:pPr>
        <w:spacing w:after="0" w:line="360" w:lineRule="auto"/>
        <w:ind w:firstLine="363"/>
        <w:jc w:val="both"/>
        <w:rPr>
          <w:rFonts w:ascii="Times New Roman" w:hAnsi="Times New Roman" w:cs="Times New Roman"/>
          <w:sz w:val="24"/>
          <w:szCs w:val="24"/>
        </w:rPr>
      </w:pPr>
      <w:r w:rsidRPr="006055E0">
        <w:rPr>
          <w:rFonts w:ascii="Times New Roman" w:hAnsi="Times New Roman" w:cs="Times New Roman"/>
          <w:sz w:val="24"/>
          <w:szCs w:val="24"/>
        </w:rPr>
        <w:t>W poszukiwaniu właściwej dla</w:t>
      </w:r>
      <w:r w:rsidR="00B7157A">
        <w:rPr>
          <w:rFonts w:ascii="Times New Roman" w:hAnsi="Times New Roman" w:cs="Times New Roman"/>
          <w:sz w:val="24"/>
          <w:szCs w:val="24"/>
        </w:rPr>
        <w:t xml:space="preserve"> celów</w:t>
      </w:r>
      <w:r w:rsidRPr="006055E0">
        <w:rPr>
          <w:rFonts w:ascii="Times New Roman" w:hAnsi="Times New Roman" w:cs="Times New Roman"/>
          <w:sz w:val="24"/>
          <w:szCs w:val="24"/>
        </w:rPr>
        <w:t xml:space="preserve"> niniejszego opracowania definicji internacjonalizacji warto krótko</w:t>
      </w:r>
      <w:r w:rsidR="00064A28">
        <w:rPr>
          <w:rFonts w:ascii="Times New Roman" w:hAnsi="Times New Roman" w:cs="Times New Roman"/>
          <w:sz w:val="24"/>
          <w:szCs w:val="24"/>
        </w:rPr>
        <w:t xml:space="preserve"> nawiązać </w:t>
      </w:r>
      <w:r w:rsidRPr="006055E0">
        <w:rPr>
          <w:rFonts w:ascii="Times New Roman" w:hAnsi="Times New Roman" w:cs="Times New Roman"/>
          <w:sz w:val="24"/>
          <w:szCs w:val="24"/>
        </w:rPr>
        <w:t>do</w:t>
      </w:r>
      <w:r w:rsidR="004B55A6" w:rsidRPr="006055E0">
        <w:rPr>
          <w:rFonts w:ascii="Times New Roman" w:hAnsi="Times New Roman" w:cs="Times New Roman"/>
          <w:sz w:val="24"/>
          <w:szCs w:val="24"/>
        </w:rPr>
        <w:t xml:space="preserve"> debaty </w:t>
      </w:r>
      <w:r w:rsidR="00B63CDE" w:rsidRPr="006055E0">
        <w:rPr>
          <w:rFonts w:ascii="Times New Roman" w:hAnsi="Times New Roman" w:cs="Times New Roman"/>
          <w:sz w:val="24"/>
          <w:szCs w:val="24"/>
        </w:rPr>
        <w:t xml:space="preserve">o różnicach w rozumieniu </w:t>
      </w:r>
      <w:r w:rsidRPr="006055E0">
        <w:rPr>
          <w:rFonts w:ascii="Times New Roman" w:hAnsi="Times New Roman" w:cs="Times New Roman"/>
          <w:sz w:val="24"/>
          <w:szCs w:val="24"/>
        </w:rPr>
        <w:t>pokrewnych jej zjawisk, takich jak</w:t>
      </w:r>
      <w:r w:rsidR="00B63CDE" w:rsidRPr="006055E0">
        <w:rPr>
          <w:rFonts w:ascii="Times New Roman" w:hAnsi="Times New Roman" w:cs="Times New Roman"/>
          <w:sz w:val="24"/>
          <w:szCs w:val="24"/>
        </w:rPr>
        <w:t xml:space="preserve"> </w:t>
      </w:r>
      <w:r w:rsidR="004733FA" w:rsidRPr="00664B8E">
        <w:rPr>
          <w:rFonts w:ascii="Times New Roman" w:hAnsi="Times New Roman" w:cs="Times New Roman"/>
          <w:sz w:val="24"/>
          <w:szCs w:val="24"/>
        </w:rPr>
        <w:t>globalizacja</w:t>
      </w:r>
      <w:r w:rsidR="00B63CDE" w:rsidRPr="00F67B3C">
        <w:rPr>
          <w:rFonts w:ascii="Times New Roman" w:hAnsi="Times New Roman" w:cs="Times New Roman"/>
          <w:sz w:val="24"/>
          <w:szCs w:val="24"/>
        </w:rPr>
        <w:t xml:space="preserve"> i </w:t>
      </w:r>
      <w:r w:rsidR="00F67B3C">
        <w:rPr>
          <w:rFonts w:ascii="Times New Roman" w:hAnsi="Times New Roman" w:cs="Times New Roman"/>
          <w:sz w:val="24"/>
          <w:szCs w:val="24"/>
        </w:rPr>
        <w:t>e</w:t>
      </w:r>
      <w:r w:rsidR="004733FA" w:rsidRPr="00664B8E">
        <w:rPr>
          <w:rFonts w:ascii="Times New Roman" w:hAnsi="Times New Roman" w:cs="Times New Roman"/>
          <w:sz w:val="24"/>
          <w:szCs w:val="24"/>
        </w:rPr>
        <w:t>uropeizacja</w:t>
      </w:r>
      <w:r w:rsidR="00A21F90" w:rsidRPr="006055E0">
        <w:rPr>
          <w:rFonts w:ascii="Times New Roman" w:hAnsi="Times New Roman" w:cs="Times New Roman"/>
          <w:sz w:val="24"/>
          <w:szCs w:val="24"/>
        </w:rPr>
        <w:t>.</w:t>
      </w:r>
      <w:r w:rsidR="00C71485" w:rsidRPr="006055E0">
        <w:rPr>
          <w:rFonts w:ascii="Times New Roman" w:hAnsi="Times New Roman" w:cs="Times New Roman"/>
          <w:sz w:val="24"/>
          <w:szCs w:val="24"/>
        </w:rPr>
        <w:t xml:space="preserve"> Podczas gdy globalizacja</w:t>
      </w:r>
      <w:r w:rsidR="000721C3">
        <w:rPr>
          <w:rFonts w:ascii="Times New Roman" w:hAnsi="Times New Roman" w:cs="Times New Roman"/>
          <w:sz w:val="24"/>
          <w:szCs w:val="24"/>
        </w:rPr>
        <w:t xml:space="preserve"> – </w:t>
      </w:r>
      <w:r w:rsidR="00774D19" w:rsidRPr="006055E0">
        <w:rPr>
          <w:rFonts w:ascii="Times New Roman" w:hAnsi="Times New Roman" w:cs="Times New Roman"/>
          <w:sz w:val="24"/>
          <w:szCs w:val="24"/>
        </w:rPr>
        <w:t>niezależnie od tego</w:t>
      </w:r>
      <w:r w:rsidR="00B7157A">
        <w:rPr>
          <w:rFonts w:ascii="Times New Roman" w:hAnsi="Times New Roman" w:cs="Times New Roman"/>
          <w:sz w:val="24"/>
          <w:szCs w:val="24"/>
        </w:rPr>
        <w:t>,</w:t>
      </w:r>
      <w:r w:rsidR="00774D19" w:rsidRPr="006055E0">
        <w:rPr>
          <w:rFonts w:ascii="Times New Roman" w:hAnsi="Times New Roman" w:cs="Times New Roman"/>
          <w:sz w:val="24"/>
          <w:szCs w:val="24"/>
        </w:rPr>
        <w:t xml:space="preserve"> czy </w:t>
      </w:r>
      <w:r w:rsidR="00FA00B1">
        <w:rPr>
          <w:rFonts w:ascii="Times New Roman" w:hAnsi="Times New Roman" w:cs="Times New Roman"/>
          <w:sz w:val="24"/>
          <w:szCs w:val="24"/>
        </w:rPr>
        <w:t>bierze się</w:t>
      </w:r>
      <w:r w:rsidR="00443140">
        <w:rPr>
          <w:rFonts w:ascii="Times New Roman" w:hAnsi="Times New Roman" w:cs="Times New Roman"/>
          <w:sz w:val="24"/>
          <w:szCs w:val="24"/>
        </w:rPr>
        <w:t xml:space="preserve"> pod uwagę </w:t>
      </w:r>
      <w:r w:rsidR="00774D19" w:rsidRPr="006055E0">
        <w:rPr>
          <w:rFonts w:ascii="Times New Roman" w:hAnsi="Times New Roman" w:cs="Times New Roman"/>
          <w:sz w:val="24"/>
          <w:szCs w:val="24"/>
        </w:rPr>
        <w:t>ujęcie ekonomiczne, polityczne</w:t>
      </w:r>
      <w:r w:rsidR="00B7157A">
        <w:rPr>
          <w:rFonts w:ascii="Times New Roman" w:hAnsi="Times New Roman" w:cs="Times New Roman"/>
          <w:sz w:val="24"/>
          <w:szCs w:val="24"/>
        </w:rPr>
        <w:t>,</w:t>
      </w:r>
      <w:r w:rsidR="00774D19" w:rsidRPr="006055E0">
        <w:rPr>
          <w:rFonts w:ascii="Times New Roman" w:hAnsi="Times New Roman" w:cs="Times New Roman"/>
          <w:sz w:val="24"/>
          <w:szCs w:val="24"/>
        </w:rPr>
        <w:t xml:space="preserve"> czy te</w:t>
      </w:r>
      <w:r w:rsidR="000721C3">
        <w:rPr>
          <w:rFonts w:ascii="Times New Roman" w:hAnsi="Times New Roman" w:cs="Times New Roman"/>
          <w:sz w:val="24"/>
          <w:szCs w:val="24"/>
        </w:rPr>
        <w:t>ż</w:t>
      </w:r>
      <w:r w:rsidR="00774D19" w:rsidRPr="006055E0">
        <w:rPr>
          <w:rFonts w:ascii="Times New Roman" w:hAnsi="Times New Roman" w:cs="Times New Roman"/>
          <w:sz w:val="24"/>
          <w:szCs w:val="24"/>
        </w:rPr>
        <w:t xml:space="preserve"> kulturowe</w:t>
      </w:r>
      <w:r w:rsidR="000721C3">
        <w:rPr>
          <w:rFonts w:ascii="Times New Roman" w:hAnsi="Times New Roman" w:cs="Times New Roman"/>
          <w:sz w:val="24"/>
          <w:szCs w:val="24"/>
        </w:rPr>
        <w:t xml:space="preserve"> – </w:t>
      </w:r>
      <w:r w:rsidR="00774D19" w:rsidRPr="006055E0">
        <w:rPr>
          <w:rFonts w:ascii="Times New Roman" w:hAnsi="Times New Roman" w:cs="Times New Roman"/>
          <w:sz w:val="24"/>
          <w:szCs w:val="24"/>
        </w:rPr>
        <w:t xml:space="preserve">odnosi się raczej do wymiaru ponadnarodowego w skali światowej, globalnej, internacjonalizacja wskazuje na </w:t>
      </w:r>
      <w:r w:rsidR="00251560" w:rsidRPr="006055E0">
        <w:rPr>
          <w:rFonts w:ascii="Times New Roman" w:hAnsi="Times New Roman" w:cs="Times New Roman"/>
          <w:sz w:val="24"/>
          <w:szCs w:val="24"/>
        </w:rPr>
        <w:t xml:space="preserve">pewne powiązania i interakcje pomiędzy państwami narodowymi. Zarówno internacjonalizacja, jak i </w:t>
      </w:r>
      <w:r w:rsidR="00F67B3C">
        <w:rPr>
          <w:rFonts w:ascii="Times New Roman" w:hAnsi="Times New Roman" w:cs="Times New Roman"/>
          <w:sz w:val="24"/>
          <w:szCs w:val="24"/>
        </w:rPr>
        <w:t>e</w:t>
      </w:r>
      <w:r w:rsidR="00251560" w:rsidRPr="006055E0">
        <w:rPr>
          <w:rFonts w:ascii="Times New Roman" w:hAnsi="Times New Roman" w:cs="Times New Roman"/>
          <w:sz w:val="24"/>
          <w:szCs w:val="24"/>
        </w:rPr>
        <w:t xml:space="preserve">uropeizacja, jej odmiana regionalna, </w:t>
      </w:r>
      <w:r w:rsidR="00C71485" w:rsidRPr="006055E0">
        <w:rPr>
          <w:rFonts w:ascii="Times New Roman" w:hAnsi="Times New Roman" w:cs="Times New Roman"/>
          <w:sz w:val="24"/>
          <w:szCs w:val="24"/>
        </w:rPr>
        <w:t xml:space="preserve">pozwalają </w:t>
      </w:r>
      <w:r w:rsidR="00F04517">
        <w:rPr>
          <w:rFonts w:ascii="Times New Roman" w:hAnsi="Times New Roman" w:cs="Times New Roman"/>
          <w:sz w:val="24"/>
          <w:szCs w:val="24"/>
        </w:rPr>
        <w:t>zrozumieć i lepiej ocenić skalę</w:t>
      </w:r>
      <w:r w:rsidR="00C71485" w:rsidRPr="006055E0">
        <w:rPr>
          <w:rFonts w:ascii="Times New Roman" w:hAnsi="Times New Roman" w:cs="Times New Roman"/>
          <w:sz w:val="24"/>
          <w:szCs w:val="24"/>
        </w:rPr>
        <w:t xml:space="preserve"> przemian społecznych</w:t>
      </w:r>
      <w:r w:rsidR="00251560" w:rsidRPr="006055E0">
        <w:rPr>
          <w:rFonts w:ascii="Times New Roman" w:hAnsi="Times New Roman" w:cs="Times New Roman"/>
          <w:sz w:val="24"/>
          <w:szCs w:val="24"/>
        </w:rPr>
        <w:t xml:space="preserve"> w dobie globalizacji</w:t>
      </w:r>
      <w:r w:rsidR="00554756">
        <w:rPr>
          <w:rFonts w:ascii="Times New Roman" w:hAnsi="Times New Roman" w:cs="Times New Roman"/>
          <w:sz w:val="24"/>
          <w:szCs w:val="24"/>
        </w:rPr>
        <w:t xml:space="preserve"> (Knight, 2003, s.2-3)</w:t>
      </w:r>
      <w:r w:rsidR="00251560" w:rsidRPr="006055E0">
        <w:rPr>
          <w:rFonts w:ascii="Times New Roman" w:hAnsi="Times New Roman" w:cs="Times New Roman"/>
          <w:sz w:val="24"/>
          <w:szCs w:val="24"/>
        </w:rPr>
        <w:t>.</w:t>
      </w:r>
      <w:r w:rsidR="007E4550" w:rsidRPr="006055E0">
        <w:rPr>
          <w:rFonts w:ascii="Times New Roman" w:hAnsi="Times New Roman" w:cs="Times New Roman"/>
          <w:sz w:val="24"/>
          <w:szCs w:val="24"/>
        </w:rPr>
        <w:t xml:space="preserve"> W </w:t>
      </w:r>
      <w:r w:rsidR="00554756">
        <w:rPr>
          <w:rFonts w:ascii="Times New Roman" w:hAnsi="Times New Roman" w:cs="Times New Roman"/>
          <w:sz w:val="24"/>
          <w:szCs w:val="24"/>
        </w:rPr>
        <w:t xml:space="preserve">powyższej koncepcji </w:t>
      </w:r>
      <w:r w:rsidR="001F1AC0" w:rsidRPr="006055E0">
        <w:rPr>
          <w:rFonts w:ascii="Times New Roman" w:hAnsi="Times New Roman" w:cs="Times New Roman"/>
          <w:sz w:val="24"/>
          <w:szCs w:val="24"/>
        </w:rPr>
        <w:t xml:space="preserve">globalizacja jawi się jako swoisty „katalizator” zmian w skali świata niepodzielonego na indywidualne państwa, podczas gdy internacjonalizacja oznacza </w:t>
      </w:r>
      <w:r w:rsidR="001F1AC0" w:rsidRPr="006055E0">
        <w:rPr>
          <w:rFonts w:ascii="Times New Roman" w:hAnsi="Times New Roman" w:cs="Times New Roman"/>
          <w:i/>
          <w:sz w:val="24"/>
          <w:szCs w:val="24"/>
        </w:rPr>
        <w:t xml:space="preserve">odpowiedź </w:t>
      </w:r>
      <w:r w:rsidR="00554756">
        <w:rPr>
          <w:rFonts w:ascii="Times New Roman" w:hAnsi="Times New Roman" w:cs="Times New Roman"/>
          <w:i/>
          <w:sz w:val="24"/>
          <w:szCs w:val="24"/>
        </w:rPr>
        <w:t xml:space="preserve">na te zmiany w sposób proaktywny </w:t>
      </w:r>
      <w:r w:rsidR="00554756" w:rsidRPr="00554756">
        <w:rPr>
          <w:rFonts w:ascii="Times New Roman" w:hAnsi="Times New Roman" w:cs="Times New Roman"/>
          <w:sz w:val="24"/>
          <w:szCs w:val="24"/>
        </w:rPr>
        <w:t>(Knight, 1999, s.13-28)</w:t>
      </w:r>
      <w:r w:rsidR="001F1AC0" w:rsidRPr="00554756">
        <w:rPr>
          <w:rFonts w:ascii="Times New Roman" w:hAnsi="Times New Roman" w:cs="Times New Roman"/>
          <w:sz w:val="24"/>
          <w:szCs w:val="24"/>
        </w:rPr>
        <w:t>.</w:t>
      </w:r>
      <w:r w:rsidR="00064A28">
        <w:rPr>
          <w:rFonts w:ascii="Times New Roman" w:hAnsi="Times New Roman" w:cs="Times New Roman"/>
          <w:sz w:val="24"/>
          <w:szCs w:val="24"/>
        </w:rPr>
        <w:t xml:space="preserve"> Innymi słowy, </w:t>
      </w:r>
      <w:r w:rsidR="00190880">
        <w:rPr>
          <w:rFonts w:ascii="Times New Roman" w:hAnsi="Times New Roman" w:cs="Times New Roman"/>
          <w:sz w:val="24"/>
          <w:szCs w:val="24"/>
        </w:rPr>
        <w:t xml:space="preserve">internacjonalizacja </w:t>
      </w:r>
      <w:r w:rsidR="00064A28">
        <w:rPr>
          <w:rFonts w:ascii="Times New Roman" w:hAnsi="Times New Roman" w:cs="Times New Roman"/>
          <w:sz w:val="24"/>
          <w:szCs w:val="24"/>
        </w:rPr>
        <w:t xml:space="preserve">przynosi rozwiązania, które mogą </w:t>
      </w:r>
      <w:r w:rsidR="001B59AC">
        <w:rPr>
          <w:rFonts w:ascii="Times New Roman" w:hAnsi="Times New Roman" w:cs="Times New Roman"/>
          <w:sz w:val="24"/>
          <w:szCs w:val="24"/>
        </w:rPr>
        <w:t xml:space="preserve">pomóc </w:t>
      </w:r>
      <w:r w:rsidR="00064A28">
        <w:rPr>
          <w:rFonts w:ascii="Times New Roman" w:hAnsi="Times New Roman" w:cs="Times New Roman"/>
          <w:sz w:val="24"/>
          <w:szCs w:val="24"/>
        </w:rPr>
        <w:t xml:space="preserve">zredukować </w:t>
      </w:r>
      <w:r w:rsidR="002E005C">
        <w:rPr>
          <w:rFonts w:ascii="Times New Roman" w:hAnsi="Times New Roman" w:cs="Times New Roman"/>
          <w:sz w:val="24"/>
          <w:szCs w:val="24"/>
        </w:rPr>
        <w:t xml:space="preserve">negatywne </w:t>
      </w:r>
      <w:r w:rsidR="00064A28">
        <w:rPr>
          <w:rFonts w:ascii="Times New Roman" w:hAnsi="Times New Roman" w:cs="Times New Roman"/>
          <w:sz w:val="24"/>
          <w:szCs w:val="24"/>
        </w:rPr>
        <w:t>skutki globalizacji</w:t>
      </w:r>
      <w:r w:rsidR="002E005C">
        <w:rPr>
          <w:rFonts w:ascii="Times New Roman" w:hAnsi="Times New Roman" w:cs="Times New Roman"/>
          <w:sz w:val="24"/>
          <w:szCs w:val="24"/>
        </w:rPr>
        <w:t xml:space="preserve">, takie jak na przykład nietolerancja, </w:t>
      </w:r>
      <w:r w:rsidR="001B59AC">
        <w:rPr>
          <w:rFonts w:ascii="Times New Roman" w:hAnsi="Times New Roman" w:cs="Times New Roman"/>
          <w:sz w:val="24"/>
          <w:szCs w:val="24"/>
        </w:rPr>
        <w:t>poprzez podjęcie różnego typu działań, w tym również edukacyjnych.</w:t>
      </w:r>
    </w:p>
    <w:p w:rsidR="00554756" w:rsidRDefault="006C22FE" w:rsidP="00554756">
      <w:pPr>
        <w:spacing w:after="0" w:line="360" w:lineRule="auto"/>
        <w:ind w:firstLine="363"/>
        <w:jc w:val="both"/>
        <w:rPr>
          <w:rFonts w:ascii="Times New Roman" w:hAnsi="Times New Roman" w:cs="Times New Roman"/>
          <w:sz w:val="24"/>
          <w:szCs w:val="24"/>
        </w:rPr>
      </w:pPr>
      <w:r w:rsidRPr="006055E0">
        <w:rPr>
          <w:rFonts w:ascii="Times New Roman" w:hAnsi="Times New Roman" w:cs="Times New Roman"/>
          <w:sz w:val="24"/>
          <w:szCs w:val="24"/>
        </w:rPr>
        <w:t xml:space="preserve">W odniesieniu do </w:t>
      </w:r>
      <w:r w:rsidR="001F1AC0" w:rsidRPr="006055E0">
        <w:rPr>
          <w:rFonts w:ascii="Times New Roman" w:hAnsi="Times New Roman" w:cs="Times New Roman"/>
          <w:sz w:val="24"/>
          <w:szCs w:val="24"/>
        </w:rPr>
        <w:t xml:space="preserve">internacjonalizacji w </w:t>
      </w:r>
      <w:r w:rsidRPr="006055E0">
        <w:rPr>
          <w:rFonts w:ascii="Times New Roman" w:hAnsi="Times New Roman" w:cs="Times New Roman"/>
          <w:sz w:val="24"/>
          <w:szCs w:val="24"/>
        </w:rPr>
        <w:t>edukacji</w:t>
      </w:r>
      <w:r w:rsidR="00A66501" w:rsidRPr="006055E0">
        <w:rPr>
          <w:rFonts w:ascii="Times New Roman" w:hAnsi="Times New Roman" w:cs="Times New Roman"/>
          <w:sz w:val="24"/>
          <w:szCs w:val="24"/>
        </w:rPr>
        <w:t xml:space="preserve"> w latach </w:t>
      </w:r>
      <w:r w:rsidR="00161ED1">
        <w:rPr>
          <w:rFonts w:ascii="Times New Roman" w:hAnsi="Times New Roman" w:cs="Times New Roman"/>
          <w:sz w:val="24"/>
          <w:szCs w:val="24"/>
        </w:rPr>
        <w:t>90. XX w.</w:t>
      </w:r>
      <w:r w:rsidR="00161ED1" w:rsidRPr="006055E0">
        <w:rPr>
          <w:rFonts w:ascii="Times New Roman" w:hAnsi="Times New Roman" w:cs="Times New Roman"/>
          <w:sz w:val="24"/>
          <w:szCs w:val="24"/>
        </w:rPr>
        <w:t xml:space="preserve"> </w:t>
      </w:r>
      <w:r w:rsidR="00190880">
        <w:rPr>
          <w:rFonts w:ascii="Times New Roman" w:hAnsi="Times New Roman" w:cs="Times New Roman"/>
          <w:sz w:val="24"/>
          <w:szCs w:val="24"/>
        </w:rPr>
        <w:t xml:space="preserve">stosowany </w:t>
      </w:r>
      <w:r w:rsidR="001F1AC0" w:rsidRPr="006055E0">
        <w:rPr>
          <w:rFonts w:ascii="Times New Roman" w:hAnsi="Times New Roman" w:cs="Times New Roman"/>
          <w:sz w:val="24"/>
          <w:szCs w:val="24"/>
        </w:rPr>
        <w:t>był raczej</w:t>
      </w:r>
      <w:r w:rsidR="00252FA7" w:rsidRPr="006055E0">
        <w:rPr>
          <w:rFonts w:ascii="Times New Roman" w:hAnsi="Times New Roman" w:cs="Times New Roman"/>
          <w:sz w:val="24"/>
          <w:szCs w:val="24"/>
        </w:rPr>
        <w:t xml:space="preserve"> termin </w:t>
      </w:r>
      <w:r w:rsidR="00443140">
        <w:rPr>
          <w:rFonts w:ascii="Times New Roman" w:hAnsi="Times New Roman" w:cs="Times New Roman"/>
          <w:sz w:val="24"/>
          <w:szCs w:val="24"/>
        </w:rPr>
        <w:t>„</w:t>
      </w:r>
      <w:r w:rsidR="004733FA" w:rsidRPr="002E005C">
        <w:rPr>
          <w:rFonts w:ascii="Times New Roman" w:hAnsi="Times New Roman" w:cs="Times New Roman"/>
          <w:sz w:val="24"/>
          <w:szCs w:val="24"/>
        </w:rPr>
        <w:t>edukacja międzynarodowa</w:t>
      </w:r>
      <w:r w:rsidR="006C1DFB">
        <w:rPr>
          <w:rFonts w:ascii="Times New Roman" w:hAnsi="Times New Roman" w:cs="Times New Roman"/>
          <w:sz w:val="24"/>
          <w:szCs w:val="24"/>
        </w:rPr>
        <w:t>”.</w:t>
      </w:r>
      <w:r w:rsidR="001F1AC0" w:rsidRPr="006055E0">
        <w:rPr>
          <w:rFonts w:ascii="Times New Roman" w:hAnsi="Times New Roman" w:cs="Times New Roman"/>
          <w:sz w:val="24"/>
          <w:szCs w:val="24"/>
        </w:rPr>
        <w:t xml:space="preserve"> </w:t>
      </w:r>
      <w:r w:rsidR="00EA4A27" w:rsidRPr="006055E0">
        <w:rPr>
          <w:rFonts w:ascii="Times New Roman" w:hAnsi="Times New Roman" w:cs="Times New Roman"/>
          <w:sz w:val="24"/>
          <w:szCs w:val="24"/>
        </w:rPr>
        <w:t xml:space="preserve">Aktualnie, </w:t>
      </w:r>
      <w:r w:rsidR="00252FA7" w:rsidRPr="006055E0">
        <w:rPr>
          <w:rFonts w:ascii="Times New Roman" w:hAnsi="Times New Roman" w:cs="Times New Roman"/>
          <w:sz w:val="24"/>
          <w:szCs w:val="24"/>
        </w:rPr>
        <w:t xml:space="preserve">zamiennie używa się również określeń: </w:t>
      </w:r>
      <w:r w:rsidR="006C1DFB">
        <w:rPr>
          <w:rFonts w:ascii="Times New Roman" w:hAnsi="Times New Roman" w:cs="Times New Roman"/>
          <w:sz w:val="24"/>
          <w:szCs w:val="24"/>
        </w:rPr>
        <w:lastRenderedPageBreak/>
        <w:t>„</w:t>
      </w:r>
      <w:r w:rsidR="004733FA" w:rsidRPr="002E005C">
        <w:rPr>
          <w:rFonts w:ascii="Times New Roman" w:hAnsi="Times New Roman" w:cs="Times New Roman"/>
          <w:sz w:val="24"/>
          <w:szCs w:val="24"/>
        </w:rPr>
        <w:t>edukacja transnarodowa</w:t>
      </w:r>
      <w:r w:rsidR="006C1DFB">
        <w:rPr>
          <w:rFonts w:ascii="Times New Roman" w:hAnsi="Times New Roman" w:cs="Times New Roman"/>
          <w:sz w:val="24"/>
          <w:szCs w:val="24"/>
        </w:rPr>
        <w:t>”</w:t>
      </w:r>
      <w:r w:rsidR="004733FA" w:rsidRPr="002E005C">
        <w:rPr>
          <w:rFonts w:ascii="Times New Roman" w:hAnsi="Times New Roman" w:cs="Times New Roman"/>
          <w:sz w:val="24"/>
          <w:szCs w:val="24"/>
        </w:rPr>
        <w:t xml:space="preserve">, </w:t>
      </w:r>
      <w:r w:rsidR="006C1DFB">
        <w:rPr>
          <w:rFonts w:ascii="Times New Roman" w:hAnsi="Times New Roman" w:cs="Times New Roman"/>
          <w:sz w:val="24"/>
          <w:szCs w:val="24"/>
        </w:rPr>
        <w:t>„</w:t>
      </w:r>
      <w:r w:rsidR="004733FA" w:rsidRPr="002E005C">
        <w:rPr>
          <w:rFonts w:ascii="Times New Roman" w:hAnsi="Times New Roman" w:cs="Times New Roman"/>
          <w:sz w:val="24"/>
          <w:szCs w:val="24"/>
        </w:rPr>
        <w:t>edukacja bez granic</w:t>
      </w:r>
      <w:r w:rsidR="006C1DFB">
        <w:rPr>
          <w:rFonts w:ascii="Times New Roman" w:hAnsi="Times New Roman" w:cs="Times New Roman"/>
          <w:sz w:val="24"/>
          <w:szCs w:val="24"/>
        </w:rPr>
        <w:t>”</w:t>
      </w:r>
      <w:r w:rsidR="004733FA" w:rsidRPr="002E005C">
        <w:rPr>
          <w:rFonts w:ascii="Times New Roman" w:hAnsi="Times New Roman" w:cs="Times New Roman"/>
          <w:sz w:val="24"/>
          <w:szCs w:val="24"/>
        </w:rPr>
        <w:t xml:space="preserve"> lub</w:t>
      </w:r>
      <w:r w:rsidR="007E0250">
        <w:rPr>
          <w:rFonts w:ascii="Times New Roman" w:hAnsi="Times New Roman" w:cs="Times New Roman"/>
          <w:sz w:val="24"/>
          <w:szCs w:val="24"/>
        </w:rPr>
        <w:t xml:space="preserve"> </w:t>
      </w:r>
      <w:r w:rsidR="006C1DFB">
        <w:rPr>
          <w:rFonts w:ascii="Times New Roman" w:hAnsi="Times New Roman" w:cs="Times New Roman"/>
          <w:sz w:val="24"/>
          <w:szCs w:val="24"/>
        </w:rPr>
        <w:t>„</w:t>
      </w:r>
      <w:r w:rsidR="007E0250">
        <w:rPr>
          <w:rFonts w:ascii="Times New Roman" w:hAnsi="Times New Roman" w:cs="Times New Roman"/>
          <w:sz w:val="24"/>
          <w:szCs w:val="24"/>
        </w:rPr>
        <w:t>edukacja</w:t>
      </w:r>
      <w:r w:rsidR="004733FA" w:rsidRPr="002E005C">
        <w:rPr>
          <w:rFonts w:ascii="Times New Roman" w:hAnsi="Times New Roman" w:cs="Times New Roman"/>
          <w:sz w:val="24"/>
          <w:szCs w:val="24"/>
        </w:rPr>
        <w:t xml:space="preserve"> transgraniczna</w:t>
      </w:r>
      <w:r w:rsidR="006C1DFB">
        <w:rPr>
          <w:rFonts w:ascii="Times New Roman" w:hAnsi="Times New Roman" w:cs="Times New Roman"/>
          <w:sz w:val="24"/>
          <w:szCs w:val="24"/>
        </w:rPr>
        <w:t>”</w:t>
      </w:r>
      <w:r w:rsidR="00252FA7" w:rsidRPr="006055E0">
        <w:rPr>
          <w:rFonts w:ascii="Times New Roman" w:hAnsi="Times New Roman" w:cs="Times New Roman"/>
          <w:sz w:val="24"/>
          <w:szCs w:val="24"/>
        </w:rPr>
        <w:t>, odwołując się zarówno do zniesienia</w:t>
      </w:r>
      <w:r w:rsidR="00443140">
        <w:rPr>
          <w:rFonts w:ascii="Times New Roman" w:hAnsi="Times New Roman" w:cs="Times New Roman"/>
          <w:sz w:val="24"/>
          <w:szCs w:val="24"/>
        </w:rPr>
        <w:t>,</w:t>
      </w:r>
      <w:r w:rsidR="00252FA7" w:rsidRPr="006055E0">
        <w:rPr>
          <w:rFonts w:ascii="Times New Roman" w:hAnsi="Times New Roman" w:cs="Times New Roman"/>
          <w:sz w:val="24"/>
          <w:szCs w:val="24"/>
        </w:rPr>
        <w:t xml:space="preserve"> jak i do pokonywania fizycznych </w:t>
      </w:r>
      <w:r w:rsidR="00443140">
        <w:rPr>
          <w:rFonts w:ascii="Times New Roman" w:hAnsi="Times New Roman" w:cs="Times New Roman"/>
          <w:sz w:val="24"/>
          <w:szCs w:val="24"/>
        </w:rPr>
        <w:t>oraz</w:t>
      </w:r>
      <w:r w:rsidR="00252FA7" w:rsidRPr="006055E0">
        <w:rPr>
          <w:rFonts w:ascii="Times New Roman" w:hAnsi="Times New Roman" w:cs="Times New Roman"/>
          <w:sz w:val="24"/>
          <w:szCs w:val="24"/>
        </w:rPr>
        <w:t xml:space="preserve"> symbolicznych barier</w:t>
      </w:r>
      <w:r w:rsidR="002E005C">
        <w:rPr>
          <w:rFonts w:ascii="Times New Roman" w:hAnsi="Times New Roman" w:cs="Times New Roman"/>
          <w:sz w:val="24"/>
          <w:szCs w:val="24"/>
        </w:rPr>
        <w:t xml:space="preserve"> i</w:t>
      </w:r>
      <w:r w:rsidR="00252FA7" w:rsidRPr="006055E0">
        <w:rPr>
          <w:rFonts w:ascii="Times New Roman" w:hAnsi="Times New Roman" w:cs="Times New Roman"/>
          <w:sz w:val="24"/>
          <w:szCs w:val="24"/>
        </w:rPr>
        <w:t xml:space="preserve"> granic</w:t>
      </w:r>
      <w:r w:rsidR="002E005C">
        <w:rPr>
          <w:rFonts w:ascii="Times New Roman" w:hAnsi="Times New Roman" w:cs="Times New Roman"/>
          <w:sz w:val="24"/>
          <w:szCs w:val="24"/>
        </w:rPr>
        <w:t xml:space="preserve"> narodowych</w:t>
      </w:r>
      <w:r w:rsidR="00252FA7" w:rsidRPr="006055E0">
        <w:rPr>
          <w:rFonts w:ascii="Times New Roman" w:hAnsi="Times New Roman" w:cs="Times New Roman"/>
          <w:sz w:val="24"/>
          <w:szCs w:val="24"/>
        </w:rPr>
        <w:t xml:space="preserve"> w edukacji.</w:t>
      </w:r>
    </w:p>
    <w:p w:rsidR="00554756" w:rsidRDefault="004A6AAE" w:rsidP="00554756">
      <w:pPr>
        <w:spacing w:after="0" w:line="360" w:lineRule="auto"/>
        <w:ind w:firstLine="363"/>
        <w:jc w:val="both"/>
        <w:rPr>
          <w:rFonts w:ascii="Times New Roman" w:hAnsi="Times New Roman" w:cs="Times New Roman"/>
          <w:sz w:val="24"/>
          <w:szCs w:val="24"/>
        </w:rPr>
      </w:pPr>
      <w:r w:rsidRPr="006055E0">
        <w:rPr>
          <w:rFonts w:ascii="Times New Roman" w:hAnsi="Times New Roman" w:cs="Times New Roman"/>
          <w:sz w:val="24"/>
          <w:szCs w:val="24"/>
        </w:rPr>
        <w:t>W</w:t>
      </w:r>
      <w:r w:rsidR="007E0250">
        <w:rPr>
          <w:rFonts w:ascii="Times New Roman" w:hAnsi="Times New Roman" w:cs="Times New Roman"/>
          <w:sz w:val="24"/>
          <w:szCs w:val="24"/>
        </w:rPr>
        <w:t xml:space="preserve"> niniejszym opracowaniu</w:t>
      </w:r>
      <w:r w:rsidRPr="006055E0">
        <w:rPr>
          <w:rFonts w:ascii="Times New Roman" w:hAnsi="Times New Roman" w:cs="Times New Roman"/>
          <w:sz w:val="24"/>
          <w:szCs w:val="24"/>
        </w:rPr>
        <w:t>, w związku z koniecznością o</w:t>
      </w:r>
      <w:r w:rsidR="001B7135" w:rsidRPr="006055E0">
        <w:rPr>
          <w:rFonts w:ascii="Times New Roman" w:hAnsi="Times New Roman" w:cs="Times New Roman"/>
          <w:sz w:val="24"/>
          <w:szCs w:val="24"/>
        </w:rPr>
        <w:t xml:space="preserve">dniesienia szerokiej koncepcji </w:t>
      </w:r>
      <w:r w:rsidR="00B270FA" w:rsidRPr="006055E0">
        <w:rPr>
          <w:rFonts w:ascii="Times New Roman" w:hAnsi="Times New Roman" w:cs="Times New Roman"/>
          <w:sz w:val="24"/>
          <w:szCs w:val="24"/>
        </w:rPr>
        <w:t>umiędzynarodowienia</w:t>
      </w:r>
      <w:r w:rsidRPr="006055E0">
        <w:rPr>
          <w:rFonts w:ascii="Times New Roman" w:hAnsi="Times New Roman" w:cs="Times New Roman"/>
          <w:sz w:val="24"/>
          <w:szCs w:val="24"/>
        </w:rPr>
        <w:t xml:space="preserve"> do szkoln</w:t>
      </w:r>
      <w:r w:rsidR="007E4550" w:rsidRPr="006055E0">
        <w:rPr>
          <w:rFonts w:ascii="Times New Roman" w:hAnsi="Times New Roman" w:cs="Times New Roman"/>
          <w:sz w:val="24"/>
          <w:szCs w:val="24"/>
        </w:rPr>
        <w:t xml:space="preserve">ictwa wyższego, </w:t>
      </w:r>
      <w:r w:rsidR="001B7135" w:rsidRPr="006055E0">
        <w:rPr>
          <w:rFonts w:ascii="Times New Roman" w:hAnsi="Times New Roman" w:cs="Times New Roman"/>
          <w:sz w:val="24"/>
          <w:szCs w:val="24"/>
        </w:rPr>
        <w:t xml:space="preserve">za punkt wyjścia służyć będzie </w:t>
      </w:r>
      <w:r w:rsidRPr="006055E0">
        <w:rPr>
          <w:rFonts w:ascii="Times New Roman" w:hAnsi="Times New Roman" w:cs="Times New Roman"/>
          <w:sz w:val="24"/>
          <w:szCs w:val="24"/>
        </w:rPr>
        <w:t xml:space="preserve">kolejna </w:t>
      </w:r>
      <w:r w:rsidR="007E4550" w:rsidRPr="006055E0">
        <w:rPr>
          <w:rFonts w:ascii="Times New Roman" w:hAnsi="Times New Roman" w:cs="Times New Roman"/>
          <w:sz w:val="24"/>
          <w:szCs w:val="24"/>
        </w:rPr>
        <w:t>definicja</w:t>
      </w:r>
      <w:r w:rsidR="001B59AC">
        <w:rPr>
          <w:rFonts w:ascii="Times New Roman" w:hAnsi="Times New Roman" w:cs="Times New Roman"/>
          <w:sz w:val="24"/>
          <w:szCs w:val="24"/>
        </w:rPr>
        <w:t xml:space="preserve"> internacjonalizacji szkolnictwa</w:t>
      </w:r>
      <w:r w:rsidR="00C45278">
        <w:rPr>
          <w:rFonts w:ascii="Times New Roman" w:hAnsi="Times New Roman" w:cs="Times New Roman"/>
          <w:sz w:val="24"/>
          <w:szCs w:val="24"/>
        </w:rPr>
        <w:t xml:space="preserve"> J. Knight</w:t>
      </w:r>
      <w:r w:rsidR="00554756">
        <w:rPr>
          <w:rFonts w:ascii="Times New Roman" w:hAnsi="Times New Roman" w:cs="Times New Roman"/>
          <w:sz w:val="24"/>
          <w:szCs w:val="24"/>
        </w:rPr>
        <w:t xml:space="preserve"> (2003)</w:t>
      </w:r>
      <w:r w:rsidR="00190880">
        <w:rPr>
          <w:rFonts w:ascii="Times New Roman" w:hAnsi="Times New Roman" w:cs="Times New Roman"/>
          <w:sz w:val="24"/>
          <w:szCs w:val="24"/>
        </w:rPr>
        <w:t>, określająca ją jako</w:t>
      </w:r>
      <w:r w:rsidR="007E4550" w:rsidRPr="006055E0">
        <w:rPr>
          <w:rFonts w:ascii="Times New Roman" w:hAnsi="Times New Roman" w:cs="Times New Roman"/>
          <w:sz w:val="24"/>
          <w:szCs w:val="24"/>
        </w:rPr>
        <w:t xml:space="preserve">: </w:t>
      </w:r>
      <w:r w:rsidR="007E4550" w:rsidRPr="006055E0">
        <w:rPr>
          <w:rFonts w:ascii="Times New Roman" w:hAnsi="Times New Roman" w:cs="Times New Roman"/>
          <w:i/>
          <w:sz w:val="24"/>
          <w:szCs w:val="24"/>
        </w:rPr>
        <w:t xml:space="preserve">proces integrowania wymiaru międzynarodowego, międzykulturowego i globalnego w cel, funkcje i sposób działania instytucji szkolnictwa </w:t>
      </w:r>
      <w:r w:rsidR="001B7135" w:rsidRPr="006055E0">
        <w:rPr>
          <w:rFonts w:ascii="Times New Roman" w:hAnsi="Times New Roman" w:cs="Times New Roman"/>
          <w:i/>
          <w:sz w:val="24"/>
          <w:szCs w:val="24"/>
        </w:rPr>
        <w:t xml:space="preserve">policealnego, </w:t>
      </w:r>
      <w:r w:rsidR="001B7135" w:rsidRPr="006055E0">
        <w:rPr>
          <w:rFonts w:ascii="Times New Roman" w:hAnsi="Times New Roman" w:cs="Times New Roman"/>
          <w:sz w:val="24"/>
          <w:szCs w:val="24"/>
        </w:rPr>
        <w:t>oraz uściślenie</w:t>
      </w:r>
      <w:r w:rsidR="00190880">
        <w:rPr>
          <w:rFonts w:ascii="Times New Roman" w:hAnsi="Times New Roman" w:cs="Times New Roman"/>
          <w:sz w:val="24"/>
          <w:szCs w:val="24"/>
        </w:rPr>
        <w:t>:</w:t>
      </w:r>
      <w:r w:rsidR="001B7135" w:rsidRPr="006055E0">
        <w:rPr>
          <w:rFonts w:ascii="Times New Roman" w:hAnsi="Times New Roman" w:cs="Times New Roman"/>
          <w:sz w:val="24"/>
          <w:szCs w:val="24"/>
        </w:rPr>
        <w:t xml:space="preserve"> </w:t>
      </w:r>
      <w:r w:rsidR="001B7135" w:rsidRPr="006055E0">
        <w:rPr>
          <w:rFonts w:ascii="Times New Roman" w:hAnsi="Times New Roman" w:cs="Times New Roman"/>
          <w:i/>
          <w:sz w:val="24"/>
          <w:szCs w:val="24"/>
        </w:rPr>
        <w:t>wielorakość polityki i programów, jakie wprowadzają uniwersytety i rządy</w:t>
      </w:r>
      <w:r w:rsidR="000621A2" w:rsidRPr="006055E0">
        <w:rPr>
          <w:rFonts w:ascii="Times New Roman" w:hAnsi="Times New Roman" w:cs="Times New Roman"/>
          <w:i/>
          <w:sz w:val="24"/>
          <w:szCs w:val="24"/>
        </w:rPr>
        <w:t>, aby odpowiedzieć na globalizację. Obejmują one zazwyczaj wysyłanie studentów na studia za granicę, zakładanie kampusów satelickich i anga</w:t>
      </w:r>
      <w:r w:rsidR="00375372" w:rsidRPr="006055E0">
        <w:rPr>
          <w:rFonts w:ascii="Times New Roman" w:hAnsi="Times New Roman" w:cs="Times New Roman"/>
          <w:i/>
          <w:sz w:val="24"/>
          <w:szCs w:val="24"/>
        </w:rPr>
        <w:t xml:space="preserve">żowanie się w różnego rodzaju </w:t>
      </w:r>
      <w:r w:rsidR="000621A2" w:rsidRPr="006055E0">
        <w:rPr>
          <w:rFonts w:ascii="Times New Roman" w:hAnsi="Times New Roman" w:cs="Times New Roman"/>
          <w:i/>
          <w:sz w:val="24"/>
          <w:szCs w:val="24"/>
        </w:rPr>
        <w:t>międzyinstytucjonalne kooperacje</w:t>
      </w:r>
      <w:r w:rsidR="00DA2399">
        <w:rPr>
          <w:rFonts w:ascii="Times New Roman" w:hAnsi="Times New Roman" w:cs="Times New Roman"/>
          <w:sz w:val="24"/>
          <w:szCs w:val="24"/>
        </w:rPr>
        <w:t>.</w:t>
      </w:r>
    </w:p>
    <w:p w:rsidR="00554756" w:rsidRDefault="00B270FA" w:rsidP="00554756">
      <w:pPr>
        <w:spacing w:after="0" w:line="360" w:lineRule="auto"/>
        <w:ind w:firstLine="363"/>
        <w:jc w:val="both"/>
        <w:rPr>
          <w:rFonts w:ascii="Times New Roman" w:hAnsi="Times New Roman" w:cs="Times New Roman"/>
          <w:sz w:val="24"/>
          <w:szCs w:val="24"/>
        </w:rPr>
      </w:pPr>
      <w:r w:rsidRPr="006055E0">
        <w:rPr>
          <w:rFonts w:ascii="Times New Roman" w:hAnsi="Times New Roman" w:cs="Times New Roman"/>
          <w:sz w:val="24"/>
          <w:szCs w:val="24"/>
        </w:rPr>
        <w:t xml:space="preserve">Nie ulega wątpliwości, że wspomniane działania instytucjonalne możliwe są głównie dzięki ramom tworzonym przez poszczególne państwa oraz organizacje ponadnarodowe i stowarzyszeniowe, takie jak Unia Europejska. Na płaszczyźnie krajowej polityka rządu może sprzyjać umiędzynarodowieniu szkolnictwa wyższego lub tworzyć bariery dla takich zmian. W swoich działaniach </w:t>
      </w:r>
      <w:r w:rsidR="008E10B1" w:rsidRPr="006055E0">
        <w:rPr>
          <w:rFonts w:ascii="Times New Roman" w:hAnsi="Times New Roman" w:cs="Times New Roman"/>
          <w:sz w:val="24"/>
          <w:szCs w:val="24"/>
        </w:rPr>
        <w:t xml:space="preserve">kraje </w:t>
      </w:r>
      <w:r w:rsidRPr="006055E0">
        <w:rPr>
          <w:rFonts w:ascii="Times New Roman" w:hAnsi="Times New Roman" w:cs="Times New Roman"/>
          <w:sz w:val="24"/>
          <w:szCs w:val="24"/>
        </w:rPr>
        <w:t>mogą opierać się na zasadach rynkowych, wykorzystując inicjatywy oddolne</w:t>
      </w:r>
      <w:r w:rsidR="008E10B1" w:rsidRPr="006055E0">
        <w:rPr>
          <w:rFonts w:ascii="Times New Roman" w:hAnsi="Times New Roman" w:cs="Times New Roman"/>
          <w:sz w:val="24"/>
          <w:szCs w:val="24"/>
        </w:rPr>
        <w:t xml:space="preserve"> uczelni</w:t>
      </w:r>
      <w:r w:rsidRPr="006055E0">
        <w:rPr>
          <w:rFonts w:ascii="Times New Roman" w:hAnsi="Times New Roman" w:cs="Times New Roman"/>
          <w:sz w:val="24"/>
          <w:szCs w:val="24"/>
        </w:rPr>
        <w:t xml:space="preserve"> oraz podstawowe mechanizmy konkurencji na rynku edukacyjnym</w:t>
      </w:r>
      <w:r w:rsidR="008E10B1" w:rsidRPr="006055E0">
        <w:rPr>
          <w:rFonts w:ascii="Times New Roman" w:hAnsi="Times New Roman" w:cs="Times New Roman"/>
          <w:sz w:val="24"/>
          <w:szCs w:val="24"/>
        </w:rPr>
        <w:t xml:space="preserve">, lub przyjmować postawy regulacyjne, starając się prowadzić proces </w:t>
      </w:r>
      <w:r w:rsidR="00DA2399">
        <w:rPr>
          <w:rFonts w:ascii="Times New Roman" w:hAnsi="Times New Roman" w:cs="Times New Roman"/>
          <w:sz w:val="24"/>
          <w:szCs w:val="24"/>
        </w:rPr>
        <w:t xml:space="preserve">internacjonalizacji </w:t>
      </w:r>
      <w:r w:rsidR="008E10B1" w:rsidRPr="006055E0">
        <w:rPr>
          <w:rFonts w:ascii="Times New Roman" w:hAnsi="Times New Roman" w:cs="Times New Roman"/>
          <w:sz w:val="24"/>
          <w:szCs w:val="24"/>
        </w:rPr>
        <w:t xml:space="preserve">na poziomie centralnym. Najczęściej stosują one </w:t>
      </w:r>
      <w:r w:rsidR="00B83FE1" w:rsidRPr="006055E0">
        <w:rPr>
          <w:rFonts w:ascii="Times New Roman" w:hAnsi="Times New Roman" w:cs="Times New Roman"/>
          <w:sz w:val="24"/>
          <w:szCs w:val="24"/>
        </w:rPr>
        <w:t xml:space="preserve">jednak </w:t>
      </w:r>
      <w:r w:rsidR="00EF5F7E" w:rsidRPr="006055E0">
        <w:rPr>
          <w:rFonts w:ascii="Times New Roman" w:hAnsi="Times New Roman" w:cs="Times New Roman"/>
          <w:sz w:val="24"/>
          <w:szCs w:val="24"/>
        </w:rPr>
        <w:t xml:space="preserve">mechanizmy </w:t>
      </w:r>
      <w:r w:rsidR="001B59AC">
        <w:rPr>
          <w:rFonts w:ascii="Times New Roman" w:hAnsi="Times New Roman" w:cs="Times New Roman"/>
          <w:sz w:val="24"/>
          <w:szCs w:val="24"/>
        </w:rPr>
        <w:t xml:space="preserve">charakterystyczne dla </w:t>
      </w:r>
      <w:r w:rsidR="008E10B1" w:rsidRPr="006055E0">
        <w:rPr>
          <w:rFonts w:ascii="Times New Roman" w:hAnsi="Times New Roman" w:cs="Times New Roman"/>
          <w:sz w:val="24"/>
          <w:szCs w:val="24"/>
        </w:rPr>
        <w:t xml:space="preserve">obu tych podejść. </w:t>
      </w:r>
      <w:r w:rsidR="00B83FE1" w:rsidRPr="006055E0">
        <w:rPr>
          <w:rFonts w:ascii="Times New Roman" w:hAnsi="Times New Roman" w:cs="Times New Roman"/>
          <w:sz w:val="24"/>
          <w:szCs w:val="24"/>
        </w:rPr>
        <w:t xml:space="preserve">Niektóre </w:t>
      </w:r>
      <w:r w:rsidR="001B59AC">
        <w:rPr>
          <w:rFonts w:ascii="Times New Roman" w:hAnsi="Times New Roman" w:cs="Times New Roman"/>
          <w:sz w:val="24"/>
          <w:szCs w:val="24"/>
        </w:rPr>
        <w:t>państwa</w:t>
      </w:r>
      <w:r w:rsidR="001B59AC" w:rsidRPr="006055E0">
        <w:rPr>
          <w:rFonts w:ascii="Times New Roman" w:hAnsi="Times New Roman" w:cs="Times New Roman"/>
          <w:sz w:val="24"/>
          <w:szCs w:val="24"/>
        </w:rPr>
        <w:t xml:space="preserve"> </w:t>
      </w:r>
      <w:r w:rsidR="00B83FE1" w:rsidRPr="006055E0">
        <w:rPr>
          <w:rFonts w:ascii="Times New Roman" w:hAnsi="Times New Roman" w:cs="Times New Roman"/>
          <w:sz w:val="24"/>
          <w:szCs w:val="24"/>
        </w:rPr>
        <w:t>są bardziej zaawansowane</w:t>
      </w:r>
      <w:r w:rsidR="00DA2399">
        <w:rPr>
          <w:rFonts w:ascii="Times New Roman" w:hAnsi="Times New Roman" w:cs="Times New Roman"/>
          <w:sz w:val="24"/>
          <w:szCs w:val="24"/>
        </w:rPr>
        <w:t xml:space="preserve"> pod tym względem</w:t>
      </w:r>
      <w:r w:rsidR="00B83FE1" w:rsidRPr="006055E0">
        <w:rPr>
          <w:rFonts w:ascii="Times New Roman" w:hAnsi="Times New Roman" w:cs="Times New Roman"/>
          <w:sz w:val="24"/>
          <w:szCs w:val="24"/>
        </w:rPr>
        <w:t xml:space="preserve"> </w:t>
      </w:r>
      <w:r w:rsidR="007A77F0">
        <w:rPr>
          <w:rFonts w:ascii="Times New Roman" w:hAnsi="Times New Roman" w:cs="Times New Roman"/>
          <w:sz w:val="24"/>
          <w:szCs w:val="24"/>
        </w:rPr>
        <w:t xml:space="preserve">– </w:t>
      </w:r>
      <w:r w:rsidR="00B83FE1" w:rsidRPr="006055E0">
        <w:rPr>
          <w:rFonts w:ascii="Times New Roman" w:hAnsi="Times New Roman" w:cs="Times New Roman"/>
          <w:sz w:val="24"/>
          <w:szCs w:val="24"/>
        </w:rPr>
        <w:t>wypracowa</w:t>
      </w:r>
      <w:r w:rsidR="007A77F0">
        <w:rPr>
          <w:rFonts w:ascii="Times New Roman" w:hAnsi="Times New Roman" w:cs="Times New Roman"/>
          <w:sz w:val="24"/>
          <w:szCs w:val="24"/>
        </w:rPr>
        <w:t>ły</w:t>
      </w:r>
      <w:r w:rsidR="00B83FE1" w:rsidRPr="006055E0">
        <w:rPr>
          <w:rFonts w:ascii="Times New Roman" w:hAnsi="Times New Roman" w:cs="Times New Roman"/>
          <w:sz w:val="24"/>
          <w:szCs w:val="24"/>
        </w:rPr>
        <w:t xml:space="preserve"> </w:t>
      </w:r>
      <w:r w:rsidR="00AD54FE">
        <w:rPr>
          <w:rFonts w:ascii="Times New Roman" w:hAnsi="Times New Roman" w:cs="Times New Roman"/>
          <w:sz w:val="24"/>
          <w:szCs w:val="24"/>
        </w:rPr>
        <w:t>strategie czy polityki</w:t>
      </w:r>
      <w:r w:rsidR="00AD54FE" w:rsidRPr="006055E0">
        <w:rPr>
          <w:rFonts w:ascii="Times New Roman" w:hAnsi="Times New Roman" w:cs="Times New Roman"/>
          <w:sz w:val="24"/>
          <w:szCs w:val="24"/>
        </w:rPr>
        <w:t xml:space="preserve"> </w:t>
      </w:r>
      <w:r w:rsidR="00A844D9" w:rsidRPr="006055E0">
        <w:rPr>
          <w:rFonts w:ascii="Times New Roman" w:hAnsi="Times New Roman" w:cs="Times New Roman"/>
          <w:sz w:val="24"/>
          <w:szCs w:val="24"/>
        </w:rPr>
        <w:t>umiędzynarodowienia</w:t>
      </w:r>
      <w:r w:rsidR="007A77F0">
        <w:rPr>
          <w:rFonts w:ascii="Times New Roman" w:hAnsi="Times New Roman" w:cs="Times New Roman"/>
          <w:sz w:val="24"/>
          <w:szCs w:val="24"/>
        </w:rPr>
        <w:t xml:space="preserve"> –</w:t>
      </w:r>
      <w:r w:rsidR="00A844D9" w:rsidRPr="006055E0">
        <w:rPr>
          <w:rFonts w:ascii="Times New Roman" w:hAnsi="Times New Roman" w:cs="Times New Roman"/>
          <w:sz w:val="24"/>
          <w:szCs w:val="24"/>
        </w:rPr>
        <w:t xml:space="preserve"> podczas gdy inne nie </w:t>
      </w:r>
      <w:r w:rsidR="00EF5F7E" w:rsidRPr="006055E0">
        <w:rPr>
          <w:rFonts w:ascii="Times New Roman" w:hAnsi="Times New Roman" w:cs="Times New Roman"/>
          <w:sz w:val="24"/>
          <w:szCs w:val="24"/>
        </w:rPr>
        <w:t xml:space="preserve">tworzą </w:t>
      </w:r>
      <w:r w:rsidR="00A844D9" w:rsidRPr="006055E0">
        <w:rPr>
          <w:rFonts w:ascii="Times New Roman" w:hAnsi="Times New Roman" w:cs="Times New Roman"/>
          <w:sz w:val="24"/>
          <w:szCs w:val="24"/>
        </w:rPr>
        <w:t>jeszcze żadnych ram prawnych ani sieci instytucjonalnych</w:t>
      </w:r>
      <w:r w:rsidR="00EF5F7E" w:rsidRPr="006055E0">
        <w:rPr>
          <w:rFonts w:ascii="Times New Roman" w:hAnsi="Times New Roman" w:cs="Times New Roman"/>
          <w:sz w:val="24"/>
          <w:szCs w:val="24"/>
        </w:rPr>
        <w:t xml:space="preserve"> </w:t>
      </w:r>
      <w:r w:rsidR="00A844D9" w:rsidRPr="006055E0">
        <w:rPr>
          <w:rFonts w:ascii="Times New Roman" w:hAnsi="Times New Roman" w:cs="Times New Roman"/>
          <w:sz w:val="24"/>
          <w:szCs w:val="24"/>
        </w:rPr>
        <w:t>wsp</w:t>
      </w:r>
      <w:r w:rsidR="007A77F0">
        <w:rPr>
          <w:rFonts w:ascii="Times New Roman" w:hAnsi="Times New Roman" w:cs="Times New Roman"/>
          <w:sz w:val="24"/>
          <w:szCs w:val="24"/>
        </w:rPr>
        <w:t>ierających</w:t>
      </w:r>
      <w:r w:rsidR="00A844D9" w:rsidRPr="006055E0">
        <w:rPr>
          <w:rFonts w:ascii="Times New Roman" w:hAnsi="Times New Roman" w:cs="Times New Roman"/>
          <w:sz w:val="24"/>
          <w:szCs w:val="24"/>
        </w:rPr>
        <w:t xml:space="preserve"> </w:t>
      </w:r>
      <w:r w:rsidR="00DA2399">
        <w:rPr>
          <w:rFonts w:ascii="Times New Roman" w:hAnsi="Times New Roman" w:cs="Times New Roman"/>
          <w:sz w:val="24"/>
          <w:szCs w:val="24"/>
        </w:rPr>
        <w:t>omawian</w:t>
      </w:r>
      <w:r w:rsidR="007A77F0">
        <w:rPr>
          <w:rFonts w:ascii="Times New Roman" w:hAnsi="Times New Roman" w:cs="Times New Roman"/>
          <w:sz w:val="24"/>
          <w:szCs w:val="24"/>
        </w:rPr>
        <w:t>e</w:t>
      </w:r>
      <w:r w:rsidR="00DA2399">
        <w:rPr>
          <w:rFonts w:ascii="Times New Roman" w:hAnsi="Times New Roman" w:cs="Times New Roman"/>
          <w:sz w:val="24"/>
          <w:szCs w:val="24"/>
        </w:rPr>
        <w:t xml:space="preserve"> </w:t>
      </w:r>
      <w:r w:rsidR="00A844D9" w:rsidRPr="006055E0">
        <w:rPr>
          <w:rFonts w:ascii="Times New Roman" w:hAnsi="Times New Roman" w:cs="Times New Roman"/>
          <w:sz w:val="24"/>
          <w:szCs w:val="24"/>
        </w:rPr>
        <w:t>proces</w:t>
      </w:r>
      <w:r w:rsidR="007A77F0">
        <w:rPr>
          <w:rFonts w:ascii="Times New Roman" w:hAnsi="Times New Roman" w:cs="Times New Roman"/>
          <w:sz w:val="24"/>
          <w:szCs w:val="24"/>
        </w:rPr>
        <w:t>y</w:t>
      </w:r>
      <w:r w:rsidR="00A844D9" w:rsidRPr="006055E0">
        <w:rPr>
          <w:rFonts w:ascii="Times New Roman" w:hAnsi="Times New Roman" w:cs="Times New Roman"/>
          <w:sz w:val="24"/>
          <w:szCs w:val="24"/>
        </w:rPr>
        <w:t>.</w:t>
      </w:r>
    </w:p>
    <w:p w:rsidR="00554756" w:rsidRDefault="001D4D17" w:rsidP="00554756">
      <w:pPr>
        <w:spacing w:after="0" w:line="360" w:lineRule="auto"/>
        <w:ind w:firstLine="363"/>
        <w:jc w:val="both"/>
        <w:rPr>
          <w:rFonts w:ascii="Times New Roman" w:hAnsi="Times New Roman" w:cs="Times New Roman"/>
          <w:sz w:val="24"/>
          <w:szCs w:val="24"/>
        </w:rPr>
      </w:pPr>
      <w:r w:rsidRPr="006055E0">
        <w:rPr>
          <w:rFonts w:ascii="Times New Roman" w:hAnsi="Times New Roman" w:cs="Times New Roman"/>
          <w:sz w:val="24"/>
          <w:szCs w:val="24"/>
        </w:rPr>
        <w:t>Uwzględniając powyższe</w:t>
      </w:r>
      <w:r w:rsidR="00161ED1">
        <w:rPr>
          <w:rFonts w:ascii="Times New Roman" w:hAnsi="Times New Roman" w:cs="Times New Roman"/>
          <w:sz w:val="24"/>
          <w:szCs w:val="24"/>
        </w:rPr>
        <w:t xml:space="preserve"> fakty</w:t>
      </w:r>
      <w:r w:rsidRPr="006055E0">
        <w:rPr>
          <w:rFonts w:ascii="Times New Roman" w:hAnsi="Times New Roman" w:cs="Times New Roman"/>
          <w:sz w:val="24"/>
          <w:szCs w:val="24"/>
        </w:rPr>
        <w:t>, a</w:t>
      </w:r>
      <w:r w:rsidR="00512EE2" w:rsidRPr="006055E0">
        <w:rPr>
          <w:rFonts w:ascii="Times New Roman" w:hAnsi="Times New Roman" w:cs="Times New Roman"/>
          <w:sz w:val="24"/>
          <w:szCs w:val="24"/>
        </w:rPr>
        <w:t xml:space="preserve">rgumenty przemawiające za internacjonalizacją </w:t>
      </w:r>
      <w:r w:rsidR="00AA3FEE" w:rsidRPr="006055E0">
        <w:rPr>
          <w:rFonts w:ascii="Times New Roman" w:hAnsi="Times New Roman" w:cs="Times New Roman"/>
          <w:sz w:val="24"/>
          <w:szCs w:val="24"/>
        </w:rPr>
        <w:t>szkolnictwa wyższego</w:t>
      </w:r>
      <w:r w:rsidR="00512EE2" w:rsidRPr="006055E0">
        <w:rPr>
          <w:rFonts w:ascii="Times New Roman" w:hAnsi="Times New Roman" w:cs="Times New Roman"/>
          <w:sz w:val="24"/>
          <w:szCs w:val="24"/>
        </w:rPr>
        <w:t xml:space="preserve"> można podzielić na </w:t>
      </w:r>
      <w:r w:rsidR="00AA3FEE" w:rsidRPr="006055E0">
        <w:rPr>
          <w:rFonts w:ascii="Times New Roman" w:hAnsi="Times New Roman" w:cs="Times New Roman"/>
          <w:sz w:val="24"/>
          <w:szCs w:val="24"/>
        </w:rPr>
        <w:t xml:space="preserve">te, które </w:t>
      </w:r>
      <w:r w:rsidR="007A77F0">
        <w:rPr>
          <w:rFonts w:ascii="Times New Roman" w:hAnsi="Times New Roman" w:cs="Times New Roman"/>
          <w:sz w:val="24"/>
          <w:szCs w:val="24"/>
        </w:rPr>
        <w:t xml:space="preserve">wynikają z postrzegania tego procesu </w:t>
      </w:r>
      <w:r w:rsidR="00AA3FEE" w:rsidRPr="006055E0">
        <w:rPr>
          <w:rFonts w:ascii="Times New Roman" w:hAnsi="Times New Roman" w:cs="Times New Roman"/>
          <w:sz w:val="24"/>
          <w:szCs w:val="24"/>
        </w:rPr>
        <w:t>z perspektywy jednostkowej uczelni</w:t>
      </w:r>
      <w:r w:rsidR="00DA2399">
        <w:rPr>
          <w:rFonts w:ascii="Times New Roman" w:hAnsi="Times New Roman" w:cs="Times New Roman"/>
          <w:sz w:val="24"/>
          <w:szCs w:val="24"/>
        </w:rPr>
        <w:t xml:space="preserve"> – </w:t>
      </w:r>
      <w:r w:rsidR="00AA3FEE" w:rsidRPr="006055E0">
        <w:rPr>
          <w:rFonts w:ascii="Times New Roman" w:hAnsi="Times New Roman" w:cs="Times New Roman"/>
          <w:sz w:val="24"/>
          <w:szCs w:val="24"/>
        </w:rPr>
        <w:t xml:space="preserve">nazwijmy je </w:t>
      </w:r>
      <w:r w:rsidR="004733FA" w:rsidRPr="00B02588">
        <w:rPr>
          <w:rFonts w:ascii="Times New Roman" w:hAnsi="Times New Roman" w:cs="Times New Roman"/>
          <w:sz w:val="24"/>
          <w:szCs w:val="24"/>
        </w:rPr>
        <w:t>instytucjonalnymi</w:t>
      </w:r>
      <w:r w:rsidR="00D112B8" w:rsidRPr="006055E0">
        <w:rPr>
          <w:rFonts w:ascii="Times New Roman" w:hAnsi="Times New Roman" w:cs="Times New Roman"/>
          <w:sz w:val="24"/>
          <w:szCs w:val="24"/>
        </w:rPr>
        <w:t xml:space="preserve"> lub</w:t>
      </w:r>
      <w:r w:rsidR="00D112B8" w:rsidRPr="006055E0">
        <w:rPr>
          <w:rFonts w:ascii="Times New Roman" w:hAnsi="Times New Roman" w:cs="Times New Roman"/>
          <w:i/>
          <w:sz w:val="24"/>
          <w:szCs w:val="24"/>
        </w:rPr>
        <w:t xml:space="preserve"> </w:t>
      </w:r>
      <w:r w:rsidR="004733FA" w:rsidRPr="007A77F0">
        <w:rPr>
          <w:rFonts w:ascii="Times New Roman" w:hAnsi="Times New Roman"/>
          <w:sz w:val="24"/>
        </w:rPr>
        <w:t>wewnętrznymi</w:t>
      </w:r>
      <w:r w:rsidR="00AA3FEE" w:rsidRPr="006055E0">
        <w:rPr>
          <w:rFonts w:ascii="Times New Roman" w:hAnsi="Times New Roman" w:cs="Times New Roman"/>
          <w:sz w:val="24"/>
          <w:szCs w:val="24"/>
        </w:rPr>
        <w:t xml:space="preserve">, oraz te, które </w:t>
      </w:r>
      <w:r w:rsidRPr="006055E0">
        <w:rPr>
          <w:rFonts w:ascii="Times New Roman" w:hAnsi="Times New Roman" w:cs="Times New Roman"/>
          <w:sz w:val="24"/>
          <w:szCs w:val="24"/>
        </w:rPr>
        <w:t>związane są raczej</w:t>
      </w:r>
      <w:r w:rsidR="00AA3FEE" w:rsidRPr="006055E0">
        <w:rPr>
          <w:rFonts w:ascii="Times New Roman" w:hAnsi="Times New Roman" w:cs="Times New Roman"/>
          <w:sz w:val="24"/>
          <w:szCs w:val="24"/>
        </w:rPr>
        <w:t xml:space="preserve"> </w:t>
      </w:r>
      <w:r w:rsidRPr="006055E0">
        <w:rPr>
          <w:rFonts w:ascii="Times New Roman" w:hAnsi="Times New Roman" w:cs="Times New Roman"/>
          <w:sz w:val="24"/>
          <w:szCs w:val="24"/>
        </w:rPr>
        <w:t>z szeroko pojętym otoczeniem</w:t>
      </w:r>
      <w:r w:rsidR="00AA3FEE" w:rsidRPr="006055E0">
        <w:rPr>
          <w:rFonts w:ascii="Times New Roman" w:hAnsi="Times New Roman" w:cs="Times New Roman"/>
          <w:sz w:val="24"/>
          <w:szCs w:val="24"/>
        </w:rPr>
        <w:t xml:space="preserve"> </w:t>
      </w:r>
      <w:r w:rsidRPr="006055E0">
        <w:rPr>
          <w:rFonts w:ascii="Times New Roman" w:hAnsi="Times New Roman" w:cs="Times New Roman"/>
          <w:sz w:val="24"/>
          <w:szCs w:val="24"/>
        </w:rPr>
        <w:t>edukacji</w:t>
      </w:r>
      <w:r w:rsidR="00AA3FEE" w:rsidRPr="006055E0">
        <w:rPr>
          <w:rFonts w:ascii="Times New Roman" w:hAnsi="Times New Roman" w:cs="Times New Roman"/>
          <w:sz w:val="24"/>
          <w:szCs w:val="24"/>
        </w:rPr>
        <w:t xml:space="preserve">, </w:t>
      </w:r>
      <w:r w:rsidR="000C1846" w:rsidRPr="006055E0">
        <w:rPr>
          <w:rFonts w:ascii="Times New Roman" w:hAnsi="Times New Roman" w:cs="Times New Roman"/>
          <w:sz w:val="24"/>
          <w:szCs w:val="24"/>
        </w:rPr>
        <w:t xml:space="preserve">w tym polityką rządową, </w:t>
      </w:r>
      <w:r w:rsidR="00AA3FEE" w:rsidRPr="006055E0">
        <w:rPr>
          <w:rFonts w:ascii="Times New Roman" w:hAnsi="Times New Roman" w:cs="Times New Roman"/>
          <w:sz w:val="24"/>
          <w:szCs w:val="24"/>
        </w:rPr>
        <w:t>które dla upros</w:t>
      </w:r>
      <w:r w:rsidR="00D112B8" w:rsidRPr="006055E0">
        <w:rPr>
          <w:rFonts w:ascii="Times New Roman" w:hAnsi="Times New Roman" w:cs="Times New Roman"/>
          <w:sz w:val="24"/>
          <w:szCs w:val="24"/>
        </w:rPr>
        <w:t xml:space="preserve">zczenia nazwać można </w:t>
      </w:r>
      <w:r w:rsidR="004733FA" w:rsidRPr="00B02588">
        <w:rPr>
          <w:rFonts w:ascii="Times New Roman" w:hAnsi="Times New Roman" w:cs="Times New Roman"/>
          <w:sz w:val="24"/>
          <w:szCs w:val="24"/>
        </w:rPr>
        <w:t>rynkowymi</w:t>
      </w:r>
      <w:r w:rsidR="00D112B8" w:rsidRPr="006055E0">
        <w:rPr>
          <w:rFonts w:ascii="Times New Roman" w:hAnsi="Times New Roman" w:cs="Times New Roman"/>
          <w:sz w:val="24"/>
          <w:szCs w:val="24"/>
        </w:rPr>
        <w:t xml:space="preserve"> lub</w:t>
      </w:r>
      <w:r w:rsidR="00D112B8" w:rsidRPr="006055E0">
        <w:rPr>
          <w:rFonts w:ascii="Times New Roman" w:hAnsi="Times New Roman" w:cs="Times New Roman"/>
          <w:i/>
          <w:sz w:val="24"/>
          <w:szCs w:val="24"/>
        </w:rPr>
        <w:t xml:space="preserve"> </w:t>
      </w:r>
      <w:r w:rsidR="004733FA" w:rsidRPr="007A77F0">
        <w:rPr>
          <w:rFonts w:ascii="Times New Roman" w:hAnsi="Times New Roman"/>
          <w:sz w:val="24"/>
        </w:rPr>
        <w:t>zewnętrznymi</w:t>
      </w:r>
      <w:r w:rsidR="00D112B8" w:rsidRPr="007A77F0">
        <w:rPr>
          <w:rFonts w:ascii="Times New Roman" w:hAnsi="Times New Roman" w:cs="Times New Roman"/>
          <w:sz w:val="24"/>
          <w:szCs w:val="24"/>
        </w:rPr>
        <w:t>.</w:t>
      </w:r>
      <w:r w:rsidR="008A56DE" w:rsidRPr="006055E0">
        <w:rPr>
          <w:rFonts w:ascii="Times New Roman" w:hAnsi="Times New Roman" w:cs="Times New Roman"/>
          <w:sz w:val="24"/>
          <w:szCs w:val="24"/>
        </w:rPr>
        <w:t xml:space="preserve"> Do pierwsz</w:t>
      </w:r>
      <w:r w:rsidR="00AD6076">
        <w:rPr>
          <w:rFonts w:ascii="Times New Roman" w:hAnsi="Times New Roman" w:cs="Times New Roman"/>
          <w:sz w:val="24"/>
          <w:szCs w:val="24"/>
        </w:rPr>
        <w:t xml:space="preserve">ej grupy </w:t>
      </w:r>
      <w:r w:rsidR="008A56DE" w:rsidRPr="006055E0">
        <w:rPr>
          <w:rFonts w:ascii="Times New Roman" w:hAnsi="Times New Roman" w:cs="Times New Roman"/>
          <w:sz w:val="24"/>
          <w:szCs w:val="24"/>
        </w:rPr>
        <w:t xml:space="preserve">zaliczyć można z pewnością </w:t>
      </w:r>
      <w:r w:rsidR="007A77F0">
        <w:rPr>
          <w:rFonts w:ascii="Times New Roman" w:hAnsi="Times New Roman" w:cs="Times New Roman"/>
          <w:sz w:val="24"/>
          <w:szCs w:val="24"/>
        </w:rPr>
        <w:t xml:space="preserve">możliwość </w:t>
      </w:r>
      <w:r w:rsidR="00B02588">
        <w:rPr>
          <w:rFonts w:ascii="Times New Roman" w:hAnsi="Times New Roman" w:cs="Times New Roman"/>
          <w:sz w:val="24"/>
          <w:szCs w:val="24"/>
        </w:rPr>
        <w:t>różnicowani</w:t>
      </w:r>
      <w:r w:rsidR="007A77F0">
        <w:rPr>
          <w:rFonts w:ascii="Times New Roman" w:hAnsi="Times New Roman" w:cs="Times New Roman"/>
          <w:sz w:val="24"/>
          <w:szCs w:val="24"/>
        </w:rPr>
        <w:t>a</w:t>
      </w:r>
      <w:r w:rsidR="008A56DE" w:rsidRPr="006055E0">
        <w:rPr>
          <w:rFonts w:ascii="Times New Roman" w:hAnsi="Times New Roman" w:cs="Times New Roman"/>
          <w:sz w:val="24"/>
          <w:szCs w:val="24"/>
        </w:rPr>
        <w:t xml:space="preserve"> </w:t>
      </w:r>
      <w:r w:rsidR="001B59AC">
        <w:rPr>
          <w:rFonts w:ascii="Times New Roman" w:hAnsi="Times New Roman" w:cs="Times New Roman"/>
          <w:sz w:val="24"/>
          <w:szCs w:val="24"/>
        </w:rPr>
        <w:t>treści</w:t>
      </w:r>
      <w:r w:rsidR="00B02588">
        <w:rPr>
          <w:rFonts w:ascii="Times New Roman" w:hAnsi="Times New Roman" w:cs="Times New Roman"/>
          <w:sz w:val="24"/>
          <w:szCs w:val="24"/>
        </w:rPr>
        <w:t xml:space="preserve"> i wariantów językowych</w:t>
      </w:r>
      <w:r w:rsidR="001B59AC">
        <w:rPr>
          <w:rFonts w:ascii="Times New Roman" w:hAnsi="Times New Roman" w:cs="Times New Roman"/>
          <w:sz w:val="24"/>
          <w:szCs w:val="24"/>
        </w:rPr>
        <w:t xml:space="preserve"> </w:t>
      </w:r>
      <w:r w:rsidR="008A56DE" w:rsidRPr="006055E0">
        <w:rPr>
          <w:rFonts w:ascii="Times New Roman" w:hAnsi="Times New Roman" w:cs="Times New Roman"/>
          <w:sz w:val="24"/>
          <w:szCs w:val="24"/>
        </w:rPr>
        <w:t>programów studiów</w:t>
      </w:r>
      <w:r w:rsidR="00B02588">
        <w:rPr>
          <w:rFonts w:ascii="Times New Roman" w:hAnsi="Times New Roman" w:cs="Times New Roman"/>
          <w:sz w:val="24"/>
          <w:szCs w:val="24"/>
        </w:rPr>
        <w:t>, w tym również</w:t>
      </w:r>
      <w:r w:rsidR="008A56DE" w:rsidRPr="006055E0">
        <w:rPr>
          <w:rFonts w:ascii="Times New Roman" w:hAnsi="Times New Roman" w:cs="Times New Roman"/>
          <w:sz w:val="24"/>
          <w:szCs w:val="24"/>
        </w:rPr>
        <w:t xml:space="preserve"> poprzez zapewnienie udziału </w:t>
      </w:r>
      <w:r w:rsidR="00AD6076" w:rsidRPr="006055E0">
        <w:rPr>
          <w:rFonts w:ascii="Times New Roman" w:hAnsi="Times New Roman" w:cs="Times New Roman"/>
          <w:sz w:val="24"/>
          <w:szCs w:val="24"/>
        </w:rPr>
        <w:t xml:space="preserve">w nich </w:t>
      </w:r>
      <w:r w:rsidR="008A56DE" w:rsidRPr="006055E0">
        <w:rPr>
          <w:rFonts w:ascii="Times New Roman" w:hAnsi="Times New Roman" w:cs="Times New Roman"/>
          <w:sz w:val="24"/>
          <w:szCs w:val="24"/>
        </w:rPr>
        <w:t>student</w:t>
      </w:r>
      <w:r w:rsidR="00B02588">
        <w:rPr>
          <w:rFonts w:ascii="Times New Roman" w:hAnsi="Times New Roman" w:cs="Times New Roman"/>
          <w:sz w:val="24"/>
          <w:szCs w:val="24"/>
        </w:rPr>
        <w:t>om</w:t>
      </w:r>
      <w:r w:rsidR="008A56DE" w:rsidRPr="006055E0">
        <w:rPr>
          <w:rFonts w:ascii="Times New Roman" w:hAnsi="Times New Roman" w:cs="Times New Roman"/>
          <w:sz w:val="24"/>
          <w:szCs w:val="24"/>
        </w:rPr>
        <w:t xml:space="preserve"> i </w:t>
      </w:r>
      <w:r w:rsidR="00FC1F81">
        <w:rPr>
          <w:rFonts w:ascii="Times New Roman" w:hAnsi="Times New Roman" w:cs="Times New Roman"/>
          <w:sz w:val="24"/>
          <w:szCs w:val="24"/>
        </w:rPr>
        <w:t>dydaktykom</w:t>
      </w:r>
      <w:r w:rsidR="008A56DE" w:rsidRPr="006055E0">
        <w:rPr>
          <w:rFonts w:ascii="Times New Roman" w:hAnsi="Times New Roman" w:cs="Times New Roman"/>
          <w:sz w:val="24"/>
          <w:szCs w:val="24"/>
        </w:rPr>
        <w:t xml:space="preserve"> zagraniczny</w:t>
      </w:r>
      <w:r w:rsidR="00B02588">
        <w:rPr>
          <w:rFonts w:ascii="Times New Roman" w:hAnsi="Times New Roman" w:cs="Times New Roman"/>
          <w:sz w:val="24"/>
          <w:szCs w:val="24"/>
        </w:rPr>
        <w:t>m</w:t>
      </w:r>
      <w:r w:rsidR="008A56DE" w:rsidRPr="006055E0">
        <w:rPr>
          <w:rFonts w:ascii="Times New Roman" w:hAnsi="Times New Roman" w:cs="Times New Roman"/>
          <w:sz w:val="24"/>
          <w:szCs w:val="24"/>
        </w:rPr>
        <w:t>. T</w:t>
      </w:r>
      <w:r w:rsidR="007A77F0">
        <w:rPr>
          <w:rFonts w:ascii="Times New Roman" w:hAnsi="Times New Roman" w:cs="Times New Roman"/>
          <w:sz w:val="24"/>
          <w:szCs w:val="24"/>
        </w:rPr>
        <w:t>akie działanie</w:t>
      </w:r>
      <w:r w:rsidR="008A56DE" w:rsidRPr="006055E0">
        <w:rPr>
          <w:rFonts w:ascii="Times New Roman" w:hAnsi="Times New Roman" w:cs="Times New Roman"/>
          <w:sz w:val="24"/>
          <w:szCs w:val="24"/>
        </w:rPr>
        <w:t xml:space="preserve">, w związku z koniecznością zapewnienia odpowiednich standardów kształcenia, a </w:t>
      </w:r>
      <w:r w:rsidR="00AD6076">
        <w:rPr>
          <w:rFonts w:ascii="Times New Roman" w:hAnsi="Times New Roman" w:cs="Times New Roman"/>
          <w:sz w:val="24"/>
          <w:szCs w:val="24"/>
        </w:rPr>
        <w:t xml:space="preserve">także </w:t>
      </w:r>
      <w:r w:rsidR="008A56DE" w:rsidRPr="006055E0">
        <w:rPr>
          <w:rFonts w:ascii="Times New Roman" w:hAnsi="Times New Roman" w:cs="Times New Roman"/>
          <w:sz w:val="24"/>
          <w:szCs w:val="24"/>
        </w:rPr>
        <w:t xml:space="preserve">międzynarodowych akredytacji czy wysokich pozycji w międzynarodowych rankingach, </w:t>
      </w:r>
      <w:r w:rsidR="00AD54FE">
        <w:rPr>
          <w:rFonts w:ascii="Times New Roman" w:hAnsi="Times New Roman" w:cs="Times New Roman"/>
          <w:sz w:val="24"/>
          <w:szCs w:val="24"/>
        </w:rPr>
        <w:t>może mieć</w:t>
      </w:r>
      <w:r w:rsidR="00AD54FE" w:rsidRPr="006055E0">
        <w:rPr>
          <w:rFonts w:ascii="Times New Roman" w:hAnsi="Times New Roman" w:cs="Times New Roman"/>
          <w:sz w:val="24"/>
          <w:szCs w:val="24"/>
        </w:rPr>
        <w:t xml:space="preserve"> </w:t>
      </w:r>
      <w:r w:rsidR="008A56DE" w:rsidRPr="006055E0">
        <w:rPr>
          <w:rFonts w:ascii="Times New Roman" w:hAnsi="Times New Roman" w:cs="Times New Roman"/>
          <w:sz w:val="24"/>
          <w:szCs w:val="24"/>
        </w:rPr>
        <w:t>pozytywny wpływ na podnosze</w:t>
      </w:r>
      <w:r w:rsidR="00554756">
        <w:rPr>
          <w:rFonts w:ascii="Times New Roman" w:hAnsi="Times New Roman" w:cs="Times New Roman"/>
          <w:sz w:val="24"/>
          <w:szCs w:val="24"/>
        </w:rPr>
        <w:t>nie jakości kształcenia (KE, 2014).</w:t>
      </w:r>
      <w:r w:rsidR="008A56DE" w:rsidRPr="006055E0">
        <w:rPr>
          <w:rFonts w:ascii="Times New Roman" w:hAnsi="Times New Roman" w:cs="Times New Roman"/>
          <w:sz w:val="24"/>
          <w:szCs w:val="24"/>
        </w:rPr>
        <w:t xml:space="preserve"> </w:t>
      </w:r>
      <w:r w:rsidR="00DA61BD">
        <w:rPr>
          <w:rFonts w:ascii="Times New Roman" w:hAnsi="Times New Roman" w:cs="Times New Roman"/>
          <w:sz w:val="24"/>
          <w:szCs w:val="24"/>
        </w:rPr>
        <w:t xml:space="preserve">Uczelnie, </w:t>
      </w:r>
      <w:r w:rsidR="00DA61BD" w:rsidRPr="00DA61BD">
        <w:rPr>
          <w:rFonts w:ascii="Times New Roman" w:hAnsi="Times New Roman" w:cs="Times New Roman"/>
          <w:sz w:val="24"/>
          <w:szCs w:val="24"/>
        </w:rPr>
        <w:t xml:space="preserve">które zamierzają podnieść swą międzynarodową </w:t>
      </w:r>
      <w:r w:rsidR="00DA61BD" w:rsidRPr="00DA61BD">
        <w:rPr>
          <w:rFonts w:ascii="Times New Roman" w:hAnsi="Times New Roman" w:cs="Times New Roman"/>
          <w:sz w:val="24"/>
          <w:szCs w:val="24"/>
        </w:rPr>
        <w:lastRenderedPageBreak/>
        <w:t>rangę, chcą mieć możliwość wykazania się normami jakości, co jest wstępnym warunkiem budowy zaufania leżącego u</w:t>
      </w:r>
      <w:r w:rsidR="00DA61BD">
        <w:t xml:space="preserve"> </w:t>
      </w:r>
      <w:r w:rsidR="00DA61BD" w:rsidRPr="00DA61BD">
        <w:rPr>
          <w:rFonts w:ascii="Times New Roman" w:hAnsi="Times New Roman" w:cs="Times New Roman"/>
          <w:sz w:val="24"/>
          <w:szCs w:val="24"/>
        </w:rPr>
        <w:t>podstaw partnerstw międzynarodowych</w:t>
      </w:r>
      <w:r w:rsidR="00DA61BD">
        <w:rPr>
          <w:rFonts w:ascii="Times New Roman" w:hAnsi="Times New Roman" w:cs="Times New Roman"/>
          <w:sz w:val="24"/>
          <w:szCs w:val="24"/>
        </w:rPr>
        <w:t>. Są to zmiany</w:t>
      </w:r>
      <w:r w:rsidR="00AD54FE">
        <w:rPr>
          <w:rFonts w:ascii="Times New Roman" w:hAnsi="Times New Roman" w:cs="Times New Roman"/>
          <w:sz w:val="24"/>
          <w:szCs w:val="24"/>
        </w:rPr>
        <w:t>,</w:t>
      </w:r>
      <w:r w:rsidR="008A56DE" w:rsidRPr="006055E0">
        <w:rPr>
          <w:rFonts w:ascii="Times New Roman" w:hAnsi="Times New Roman" w:cs="Times New Roman"/>
          <w:sz w:val="24"/>
          <w:szCs w:val="24"/>
        </w:rPr>
        <w:t xml:space="preserve"> któr</w:t>
      </w:r>
      <w:r w:rsidR="00DA61BD">
        <w:rPr>
          <w:rFonts w:ascii="Times New Roman" w:hAnsi="Times New Roman" w:cs="Times New Roman"/>
          <w:sz w:val="24"/>
          <w:szCs w:val="24"/>
        </w:rPr>
        <w:t>e niewątpliwie oddziałują</w:t>
      </w:r>
      <w:r w:rsidR="008A56DE" w:rsidRPr="006055E0">
        <w:rPr>
          <w:rFonts w:ascii="Times New Roman" w:hAnsi="Times New Roman" w:cs="Times New Roman"/>
          <w:sz w:val="24"/>
          <w:szCs w:val="24"/>
        </w:rPr>
        <w:t xml:space="preserve"> na organizację i jej członków w sposób niezwykle motywujący, pod warunkiem jednak, że stworzone zostaną odpowiednie mechanizmy wspierania i ewaluacji </w:t>
      </w:r>
      <w:r w:rsidR="00AD6076">
        <w:rPr>
          <w:rFonts w:ascii="Times New Roman" w:hAnsi="Times New Roman" w:cs="Times New Roman"/>
          <w:sz w:val="24"/>
          <w:szCs w:val="24"/>
        </w:rPr>
        <w:t>omawianych</w:t>
      </w:r>
      <w:r w:rsidR="008A56DE" w:rsidRPr="006055E0">
        <w:rPr>
          <w:rFonts w:ascii="Times New Roman" w:hAnsi="Times New Roman" w:cs="Times New Roman"/>
          <w:sz w:val="24"/>
          <w:szCs w:val="24"/>
        </w:rPr>
        <w:t xml:space="preserve"> </w:t>
      </w:r>
      <w:r w:rsidR="007A77F0">
        <w:rPr>
          <w:rFonts w:ascii="Times New Roman" w:hAnsi="Times New Roman" w:cs="Times New Roman"/>
          <w:sz w:val="24"/>
          <w:szCs w:val="24"/>
        </w:rPr>
        <w:t>przekształceń</w:t>
      </w:r>
      <w:r w:rsidR="008A56DE" w:rsidRPr="006055E0">
        <w:rPr>
          <w:rFonts w:ascii="Times New Roman" w:hAnsi="Times New Roman" w:cs="Times New Roman"/>
          <w:sz w:val="24"/>
          <w:szCs w:val="24"/>
        </w:rPr>
        <w:t xml:space="preserve">. Swoiste sieci, tworzone przez uczelnie w </w:t>
      </w:r>
      <w:r w:rsidR="00892C64" w:rsidRPr="006055E0">
        <w:rPr>
          <w:rFonts w:ascii="Times New Roman" w:hAnsi="Times New Roman" w:cs="Times New Roman"/>
          <w:sz w:val="24"/>
          <w:szCs w:val="24"/>
        </w:rPr>
        <w:t xml:space="preserve">ramach projektów międzynarodowych czy też dzięki mechanizmom wymiany, stają się platformami głębszej współpracy, ale przede wszystkim przełamywania stereotypów i schematów w postrzeganiu innych kultur i społeczeństw. </w:t>
      </w:r>
      <w:r w:rsidR="0081055A" w:rsidRPr="006055E0">
        <w:rPr>
          <w:rFonts w:ascii="Times New Roman" w:hAnsi="Times New Roman" w:cs="Times New Roman"/>
          <w:sz w:val="24"/>
          <w:szCs w:val="24"/>
        </w:rPr>
        <w:t xml:space="preserve">Badania prowadzone w oparciu o takie platformy są z założenia pełniejsze i </w:t>
      </w:r>
      <w:r w:rsidR="00FC7A77" w:rsidRPr="006055E0">
        <w:rPr>
          <w:rFonts w:ascii="Times New Roman" w:hAnsi="Times New Roman" w:cs="Times New Roman"/>
          <w:sz w:val="24"/>
          <w:szCs w:val="24"/>
        </w:rPr>
        <w:t xml:space="preserve">bardziej miarodajne. Na te i inne </w:t>
      </w:r>
      <w:r w:rsidR="005A53B6">
        <w:rPr>
          <w:rFonts w:ascii="Times New Roman" w:hAnsi="Times New Roman" w:cs="Times New Roman"/>
          <w:sz w:val="24"/>
          <w:szCs w:val="24"/>
        </w:rPr>
        <w:t xml:space="preserve">argumenty przemawiające za </w:t>
      </w:r>
      <w:r w:rsidR="00FC7A77" w:rsidRPr="006055E0">
        <w:rPr>
          <w:rFonts w:ascii="Times New Roman" w:hAnsi="Times New Roman" w:cs="Times New Roman"/>
          <w:sz w:val="24"/>
          <w:szCs w:val="24"/>
        </w:rPr>
        <w:t>internacjonalizacj</w:t>
      </w:r>
      <w:r w:rsidR="005A53B6">
        <w:rPr>
          <w:rFonts w:ascii="Times New Roman" w:hAnsi="Times New Roman" w:cs="Times New Roman"/>
          <w:sz w:val="24"/>
          <w:szCs w:val="24"/>
        </w:rPr>
        <w:t>ą</w:t>
      </w:r>
      <w:r w:rsidR="00FC7A77" w:rsidRPr="006055E0">
        <w:rPr>
          <w:rFonts w:ascii="Times New Roman" w:hAnsi="Times New Roman" w:cs="Times New Roman"/>
          <w:sz w:val="24"/>
          <w:szCs w:val="24"/>
        </w:rPr>
        <w:t xml:space="preserve"> uczelni wskazuje między innymi </w:t>
      </w:r>
      <w:proofErr w:type="spellStart"/>
      <w:r w:rsidR="00FC7A77" w:rsidRPr="006055E0">
        <w:rPr>
          <w:rFonts w:ascii="Times New Roman" w:hAnsi="Times New Roman" w:cs="Times New Roman"/>
          <w:sz w:val="24"/>
          <w:szCs w:val="24"/>
        </w:rPr>
        <w:t>Marmolejo</w:t>
      </w:r>
      <w:proofErr w:type="spellEnd"/>
      <w:r w:rsidR="00554756">
        <w:rPr>
          <w:rFonts w:ascii="Times New Roman" w:hAnsi="Times New Roman" w:cs="Times New Roman"/>
          <w:sz w:val="24"/>
          <w:szCs w:val="24"/>
        </w:rPr>
        <w:t xml:space="preserve"> (2012)</w:t>
      </w:r>
      <w:r w:rsidR="00FC7A77" w:rsidRPr="006055E0">
        <w:rPr>
          <w:rFonts w:ascii="Times New Roman" w:hAnsi="Times New Roman" w:cs="Times New Roman"/>
          <w:sz w:val="24"/>
          <w:szCs w:val="24"/>
        </w:rPr>
        <w:t xml:space="preserve">, który </w:t>
      </w:r>
      <w:r w:rsidR="00AD54FE">
        <w:rPr>
          <w:rFonts w:ascii="Times New Roman" w:hAnsi="Times New Roman" w:cs="Times New Roman"/>
          <w:sz w:val="24"/>
          <w:szCs w:val="24"/>
        </w:rPr>
        <w:t>podkreśla</w:t>
      </w:r>
      <w:r w:rsidR="00AD54FE" w:rsidRPr="006055E0">
        <w:rPr>
          <w:rFonts w:ascii="Times New Roman" w:hAnsi="Times New Roman" w:cs="Times New Roman"/>
          <w:sz w:val="24"/>
          <w:szCs w:val="24"/>
        </w:rPr>
        <w:t xml:space="preserve"> </w:t>
      </w:r>
      <w:r w:rsidR="00FC7A77" w:rsidRPr="006055E0">
        <w:rPr>
          <w:rFonts w:ascii="Times New Roman" w:hAnsi="Times New Roman" w:cs="Times New Roman"/>
          <w:sz w:val="24"/>
          <w:szCs w:val="24"/>
        </w:rPr>
        <w:t xml:space="preserve">również kwestię </w:t>
      </w:r>
      <w:r w:rsidR="005A53B6">
        <w:rPr>
          <w:rFonts w:ascii="Times New Roman" w:hAnsi="Times New Roman" w:cs="Times New Roman"/>
          <w:sz w:val="24"/>
          <w:szCs w:val="24"/>
        </w:rPr>
        <w:t>zwiększonej</w:t>
      </w:r>
      <w:r w:rsidR="00121EFA">
        <w:rPr>
          <w:rFonts w:ascii="Times New Roman" w:hAnsi="Times New Roman" w:cs="Times New Roman"/>
          <w:sz w:val="24"/>
          <w:szCs w:val="24"/>
        </w:rPr>
        <w:t xml:space="preserve"> –</w:t>
      </w:r>
      <w:r w:rsidR="00FC7A77" w:rsidRPr="006055E0">
        <w:rPr>
          <w:rFonts w:ascii="Times New Roman" w:hAnsi="Times New Roman" w:cs="Times New Roman"/>
          <w:sz w:val="24"/>
          <w:szCs w:val="24"/>
        </w:rPr>
        <w:t xml:space="preserve"> dzięki tym </w:t>
      </w:r>
      <w:r w:rsidR="00375372" w:rsidRPr="006055E0">
        <w:rPr>
          <w:rFonts w:ascii="Times New Roman" w:hAnsi="Times New Roman" w:cs="Times New Roman"/>
          <w:sz w:val="24"/>
          <w:szCs w:val="24"/>
        </w:rPr>
        <w:t>mechanizmom</w:t>
      </w:r>
      <w:r w:rsidR="00121EFA">
        <w:rPr>
          <w:rFonts w:ascii="Times New Roman" w:hAnsi="Times New Roman" w:cs="Times New Roman"/>
          <w:sz w:val="24"/>
          <w:szCs w:val="24"/>
        </w:rPr>
        <w:t xml:space="preserve"> –</w:t>
      </w:r>
      <w:r w:rsidR="00375372" w:rsidRPr="006055E0">
        <w:rPr>
          <w:rFonts w:ascii="Times New Roman" w:hAnsi="Times New Roman" w:cs="Times New Roman"/>
          <w:sz w:val="24"/>
          <w:szCs w:val="24"/>
        </w:rPr>
        <w:t xml:space="preserve"> innowacyjności zarówno w zakresie przekazywanej wiedzy</w:t>
      </w:r>
      <w:r w:rsidR="00121EFA">
        <w:rPr>
          <w:rFonts w:ascii="Times New Roman" w:hAnsi="Times New Roman" w:cs="Times New Roman"/>
          <w:sz w:val="24"/>
          <w:szCs w:val="24"/>
        </w:rPr>
        <w:t>,</w:t>
      </w:r>
      <w:r w:rsidR="00375372" w:rsidRPr="006055E0">
        <w:rPr>
          <w:rFonts w:ascii="Times New Roman" w:hAnsi="Times New Roman" w:cs="Times New Roman"/>
          <w:sz w:val="24"/>
          <w:szCs w:val="24"/>
        </w:rPr>
        <w:t xml:space="preserve"> jak i </w:t>
      </w:r>
      <w:r w:rsidR="00121EFA">
        <w:rPr>
          <w:rFonts w:ascii="Times New Roman" w:hAnsi="Times New Roman" w:cs="Times New Roman"/>
          <w:sz w:val="24"/>
          <w:szCs w:val="24"/>
        </w:rPr>
        <w:t xml:space="preserve">stosowanych </w:t>
      </w:r>
      <w:r w:rsidR="00375372" w:rsidRPr="006055E0">
        <w:rPr>
          <w:rFonts w:ascii="Times New Roman" w:hAnsi="Times New Roman" w:cs="Times New Roman"/>
          <w:sz w:val="24"/>
          <w:szCs w:val="24"/>
        </w:rPr>
        <w:t xml:space="preserve">metod </w:t>
      </w:r>
      <w:r w:rsidR="005A53B6">
        <w:rPr>
          <w:rFonts w:ascii="Times New Roman" w:hAnsi="Times New Roman" w:cs="Times New Roman"/>
          <w:sz w:val="24"/>
          <w:szCs w:val="24"/>
        </w:rPr>
        <w:t>dydaktycznych</w:t>
      </w:r>
      <w:r w:rsidR="00121EFA">
        <w:rPr>
          <w:rFonts w:ascii="Times New Roman" w:hAnsi="Times New Roman" w:cs="Times New Roman"/>
          <w:sz w:val="24"/>
          <w:szCs w:val="24"/>
        </w:rPr>
        <w:t xml:space="preserve">, </w:t>
      </w:r>
      <w:r w:rsidR="00375372" w:rsidRPr="006055E0">
        <w:rPr>
          <w:rFonts w:ascii="Times New Roman" w:hAnsi="Times New Roman" w:cs="Times New Roman"/>
          <w:sz w:val="24"/>
          <w:szCs w:val="24"/>
        </w:rPr>
        <w:t>nowego podejścia do</w:t>
      </w:r>
      <w:r w:rsidR="005A53B6">
        <w:rPr>
          <w:rFonts w:ascii="Times New Roman" w:hAnsi="Times New Roman" w:cs="Times New Roman"/>
          <w:sz w:val="24"/>
          <w:szCs w:val="24"/>
        </w:rPr>
        <w:t xml:space="preserve"> nauczania</w:t>
      </w:r>
      <w:r w:rsidR="00375372" w:rsidRPr="006055E0">
        <w:rPr>
          <w:rFonts w:ascii="Times New Roman" w:hAnsi="Times New Roman" w:cs="Times New Roman"/>
          <w:sz w:val="24"/>
          <w:szCs w:val="24"/>
        </w:rPr>
        <w:t>.</w:t>
      </w:r>
      <w:r w:rsidR="00893390" w:rsidRPr="006055E0">
        <w:rPr>
          <w:rFonts w:ascii="Times New Roman" w:hAnsi="Times New Roman" w:cs="Times New Roman"/>
          <w:sz w:val="24"/>
          <w:szCs w:val="24"/>
        </w:rPr>
        <w:t xml:space="preserve"> Nie bez znaczenia jest również argument umiędzynarodowienia źródeł finansowania uczelni, </w:t>
      </w:r>
      <w:r w:rsidR="00853D59" w:rsidRPr="006055E0">
        <w:rPr>
          <w:rFonts w:ascii="Times New Roman" w:hAnsi="Times New Roman" w:cs="Times New Roman"/>
          <w:sz w:val="24"/>
          <w:szCs w:val="24"/>
        </w:rPr>
        <w:t xml:space="preserve">zarówno nauki, jak i dydaktyki, co jest szczególnie ważne w kontekście powszechnego kurczenia się </w:t>
      </w:r>
      <w:r w:rsidR="00AC4C61" w:rsidRPr="006055E0">
        <w:rPr>
          <w:rFonts w:ascii="Times New Roman" w:hAnsi="Times New Roman" w:cs="Times New Roman"/>
          <w:sz w:val="24"/>
          <w:szCs w:val="24"/>
        </w:rPr>
        <w:t>budżetów krajowych.</w:t>
      </w:r>
    </w:p>
    <w:p w:rsidR="00CE1EA1" w:rsidRDefault="00893390" w:rsidP="00554756">
      <w:pPr>
        <w:spacing w:after="0" w:line="360" w:lineRule="auto"/>
        <w:ind w:firstLine="363"/>
        <w:jc w:val="both"/>
        <w:rPr>
          <w:rFonts w:ascii="Times New Roman" w:hAnsi="Times New Roman" w:cs="Times New Roman"/>
          <w:sz w:val="24"/>
          <w:szCs w:val="24"/>
        </w:rPr>
      </w:pPr>
      <w:r w:rsidRPr="006055E0">
        <w:rPr>
          <w:rFonts w:ascii="Times New Roman" w:hAnsi="Times New Roman" w:cs="Times New Roman"/>
          <w:sz w:val="24"/>
          <w:szCs w:val="24"/>
        </w:rPr>
        <w:t xml:space="preserve">Argumenty zewnętrzne wynikają </w:t>
      </w:r>
      <w:r w:rsidR="00AC4C61" w:rsidRPr="006055E0">
        <w:rPr>
          <w:rFonts w:ascii="Times New Roman" w:hAnsi="Times New Roman" w:cs="Times New Roman"/>
          <w:sz w:val="24"/>
          <w:szCs w:val="24"/>
        </w:rPr>
        <w:t xml:space="preserve">z </w:t>
      </w:r>
      <w:r w:rsidR="00136717">
        <w:rPr>
          <w:rFonts w:ascii="Times New Roman" w:hAnsi="Times New Roman" w:cs="Times New Roman"/>
          <w:sz w:val="24"/>
          <w:szCs w:val="24"/>
        </w:rPr>
        <w:t>czynników</w:t>
      </w:r>
      <w:r w:rsidR="00AC4C61" w:rsidRPr="006055E0">
        <w:rPr>
          <w:rFonts w:ascii="Times New Roman" w:hAnsi="Times New Roman" w:cs="Times New Roman"/>
          <w:sz w:val="24"/>
          <w:szCs w:val="24"/>
        </w:rPr>
        <w:t xml:space="preserve"> zmniejszają</w:t>
      </w:r>
      <w:r w:rsidR="00136717">
        <w:rPr>
          <w:rFonts w:ascii="Times New Roman" w:hAnsi="Times New Roman" w:cs="Times New Roman"/>
          <w:sz w:val="24"/>
          <w:szCs w:val="24"/>
        </w:rPr>
        <w:t>cych</w:t>
      </w:r>
      <w:r w:rsidR="00AC4C61" w:rsidRPr="006055E0">
        <w:rPr>
          <w:rFonts w:ascii="Times New Roman" w:hAnsi="Times New Roman" w:cs="Times New Roman"/>
          <w:sz w:val="24"/>
          <w:szCs w:val="24"/>
        </w:rPr>
        <w:t xml:space="preserve"> różnice pomiędzy nar</w:t>
      </w:r>
      <w:r w:rsidR="002F39FA" w:rsidRPr="006055E0">
        <w:rPr>
          <w:rFonts w:ascii="Times New Roman" w:hAnsi="Times New Roman" w:cs="Times New Roman"/>
          <w:sz w:val="24"/>
          <w:szCs w:val="24"/>
        </w:rPr>
        <w:t>odowymi kulturami naukowymi</w:t>
      </w:r>
      <w:r w:rsidR="00554756">
        <w:rPr>
          <w:rFonts w:ascii="Times New Roman" w:hAnsi="Times New Roman" w:cs="Times New Roman"/>
          <w:sz w:val="24"/>
          <w:szCs w:val="24"/>
        </w:rPr>
        <w:t xml:space="preserve"> (Koźmiński, 2014)</w:t>
      </w:r>
      <w:r w:rsidR="00136717">
        <w:rPr>
          <w:rFonts w:ascii="Times New Roman" w:hAnsi="Times New Roman" w:cs="Times New Roman"/>
          <w:sz w:val="24"/>
          <w:szCs w:val="24"/>
        </w:rPr>
        <w:t>.</w:t>
      </w:r>
      <w:r w:rsidR="00AC4C61" w:rsidRPr="006055E0">
        <w:rPr>
          <w:rFonts w:ascii="Times New Roman" w:hAnsi="Times New Roman" w:cs="Times New Roman"/>
          <w:sz w:val="24"/>
          <w:szCs w:val="24"/>
        </w:rPr>
        <w:t xml:space="preserve"> </w:t>
      </w:r>
      <w:r w:rsidR="00136717">
        <w:rPr>
          <w:rFonts w:ascii="Times New Roman" w:hAnsi="Times New Roman" w:cs="Times New Roman"/>
          <w:sz w:val="24"/>
          <w:szCs w:val="24"/>
        </w:rPr>
        <w:t>M</w:t>
      </w:r>
      <w:r w:rsidR="00AC4C61" w:rsidRPr="006055E0">
        <w:rPr>
          <w:rFonts w:ascii="Times New Roman" w:hAnsi="Times New Roman" w:cs="Times New Roman"/>
          <w:sz w:val="24"/>
          <w:szCs w:val="24"/>
        </w:rPr>
        <w:t>oc</w:t>
      </w:r>
      <w:r w:rsidR="00EB4FCD" w:rsidRPr="006055E0">
        <w:rPr>
          <w:rFonts w:ascii="Times New Roman" w:hAnsi="Times New Roman" w:cs="Times New Roman"/>
          <w:sz w:val="24"/>
          <w:szCs w:val="24"/>
        </w:rPr>
        <w:t xml:space="preserve"> </w:t>
      </w:r>
      <w:r w:rsidR="00136717">
        <w:rPr>
          <w:rFonts w:ascii="Times New Roman" w:hAnsi="Times New Roman" w:cs="Times New Roman"/>
          <w:sz w:val="24"/>
          <w:szCs w:val="24"/>
        </w:rPr>
        <w:t xml:space="preserve">oddziaływania tych czynników </w:t>
      </w:r>
      <w:r w:rsidR="00EB4FCD" w:rsidRPr="006055E0">
        <w:rPr>
          <w:rFonts w:ascii="Times New Roman" w:hAnsi="Times New Roman" w:cs="Times New Roman"/>
          <w:sz w:val="24"/>
          <w:szCs w:val="24"/>
        </w:rPr>
        <w:t>wzrasta wraz z nasil</w:t>
      </w:r>
      <w:r w:rsidR="00136717">
        <w:rPr>
          <w:rFonts w:ascii="Times New Roman" w:hAnsi="Times New Roman" w:cs="Times New Roman"/>
          <w:sz w:val="24"/>
          <w:szCs w:val="24"/>
        </w:rPr>
        <w:t>a</w:t>
      </w:r>
      <w:r w:rsidR="00EB4FCD" w:rsidRPr="006055E0">
        <w:rPr>
          <w:rFonts w:ascii="Times New Roman" w:hAnsi="Times New Roman" w:cs="Times New Roman"/>
          <w:sz w:val="24"/>
          <w:szCs w:val="24"/>
        </w:rPr>
        <w:t xml:space="preserve">niem </w:t>
      </w:r>
      <w:r w:rsidR="00136717">
        <w:rPr>
          <w:rFonts w:ascii="Times New Roman" w:hAnsi="Times New Roman" w:cs="Times New Roman"/>
          <w:sz w:val="24"/>
          <w:szCs w:val="24"/>
        </w:rPr>
        <w:t xml:space="preserve">się </w:t>
      </w:r>
      <w:r w:rsidR="00EB4FCD" w:rsidRPr="006055E0">
        <w:rPr>
          <w:rFonts w:ascii="Times New Roman" w:hAnsi="Times New Roman" w:cs="Times New Roman"/>
          <w:sz w:val="24"/>
          <w:szCs w:val="24"/>
        </w:rPr>
        <w:t xml:space="preserve">mechanizmów globalizacyjnych, do których zaliczyć można między innymi ugruntowanie </w:t>
      </w:r>
      <w:r w:rsidR="00136717">
        <w:rPr>
          <w:rFonts w:ascii="Times New Roman" w:hAnsi="Times New Roman" w:cs="Times New Roman"/>
          <w:sz w:val="24"/>
          <w:szCs w:val="24"/>
        </w:rPr>
        <w:t xml:space="preserve">się </w:t>
      </w:r>
      <w:r w:rsidR="00EB4FCD" w:rsidRPr="006055E0">
        <w:rPr>
          <w:rFonts w:ascii="Times New Roman" w:hAnsi="Times New Roman" w:cs="Times New Roman"/>
          <w:sz w:val="24"/>
          <w:szCs w:val="24"/>
        </w:rPr>
        <w:t xml:space="preserve">pozycji języka angielskiego jako </w:t>
      </w:r>
      <w:r w:rsidR="00EB4FCD" w:rsidRPr="006055E0">
        <w:rPr>
          <w:rFonts w:ascii="Times New Roman" w:hAnsi="Times New Roman" w:cs="Times New Roman"/>
          <w:i/>
          <w:sz w:val="24"/>
          <w:szCs w:val="24"/>
        </w:rPr>
        <w:t>lingua franca</w:t>
      </w:r>
      <w:r w:rsidR="00EB4FCD" w:rsidRPr="006055E0">
        <w:rPr>
          <w:rFonts w:ascii="Times New Roman" w:hAnsi="Times New Roman" w:cs="Times New Roman"/>
          <w:sz w:val="24"/>
          <w:szCs w:val="24"/>
        </w:rPr>
        <w:t xml:space="preserve"> nauki</w:t>
      </w:r>
      <w:r w:rsidR="00BC522D">
        <w:rPr>
          <w:rFonts w:ascii="Times New Roman" w:hAnsi="Times New Roman" w:cs="Times New Roman"/>
          <w:sz w:val="24"/>
          <w:szCs w:val="24"/>
        </w:rPr>
        <w:t xml:space="preserve"> czy </w:t>
      </w:r>
      <w:r w:rsidR="00A86181">
        <w:rPr>
          <w:rFonts w:ascii="Times New Roman" w:hAnsi="Times New Roman" w:cs="Times New Roman"/>
          <w:sz w:val="24"/>
          <w:szCs w:val="24"/>
        </w:rPr>
        <w:t xml:space="preserve">instytucjonalizację i </w:t>
      </w:r>
      <w:r w:rsidR="00D7393B">
        <w:rPr>
          <w:rFonts w:ascii="Times New Roman" w:hAnsi="Times New Roman" w:cs="Times New Roman"/>
          <w:sz w:val="24"/>
          <w:szCs w:val="24"/>
        </w:rPr>
        <w:t>konsolidacj</w:t>
      </w:r>
      <w:r w:rsidR="00BC522D">
        <w:rPr>
          <w:rFonts w:ascii="Times New Roman" w:hAnsi="Times New Roman" w:cs="Times New Roman"/>
          <w:sz w:val="24"/>
          <w:szCs w:val="24"/>
        </w:rPr>
        <w:t>ę</w:t>
      </w:r>
      <w:r w:rsidR="00EB4FCD" w:rsidRPr="006055E0">
        <w:rPr>
          <w:rFonts w:ascii="Times New Roman" w:hAnsi="Times New Roman" w:cs="Times New Roman"/>
          <w:sz w:val="24"/>
          <w:szCs w:val="24"/>
        </w:rPr>
        <w:t xml:space="preserve"> </w:t>
      </w:r>
      <w:r w:rsidR="00A86181">
        <w:rPr>
          <w:rFonts w:ascii="Times New Roman" w:hAnsi="Times New Roman" w:cs="Times New Roman"/>
          <w:sz w:val="24"/>
          <w:szCs w:val="24"/>
        </w:rPr>
        <w:t xml:space="preserve">badań w określonych </w:t>
      </w:r>
      <w:r w:rsidR="00EB4FCD" w:rsidRPr="006055E0">
        <w:rPr>
          <w:rFonts w:ascii="Times New Roman" w:hAnsi="Times New Roman" w:cs="Times New Roman"/>
          <w:sz w:val="24"/>
          <w:szCs w:val="24"/>
        </w:rPr>
        <w:t>dyscyplin</w:t>
      </w:r>
      <w:r w:rsidR="00A86181">
        <w:rPr>
          <w:rFonts w:ascii="Times New Roman" w:hAnsi="Times New Roman" w:cs="Times New Roman"/>
          <w:sz w:val="24"/>
          <w:szCs w:val="24"/>
        </w:rPr>
        <w:t>ach</w:t>
      </w:r>
      <w:r w:rsidR="00EB4FCD" w:rsidRPr="006055E0">
        <w:rPr>
          <w:rFonts w:ascii="Times New Roman" w:hAnsi="Times New Roman" w:cs="Times New Roman"/>
          <w:sz w:val="24"/>
          <w:szCs w:val="24"/>
        </w:rPr>
        <w:t xml:space="preserve"> naukowych </w:t>
      </w:r>
      <w:r w:rsidR="00A86181">
        <w:rPr>
          <w:rFonts w:ascii="Times New Roman" w:hAnsi="Times New Roman" w:cs="Times New Roman"/>
          <w:sz w:val="24"/>
          <w:szCs w:val="24"/>
        </w:rPr>
        <w:t>poprzez zakładanie</w:t>
      </w:r>
      <w:r w:rsidR="00EB4FCD" w:rsidRPr="006055E0">
        <w:rPr>
          <w:rFonts w:ascii="Times New Roman" w:hAnsi="Times New Roman" w:cs="Times New Roman"/>
          <w:sz w:val="24"/>
          <w:szCs w:val="24"/>
        </w:rPr>
        <w:t xml:space="preserve"> międzynarodowych stow</w:t>
      </w:r>
      <w:r w:rsidR="00532B6D" w:rsidRPr="006055E0">
        <w:rPr>
          <w:rFonts w:ascii="Times New Roman" w:hAnsi="Times New Roman" w:cs="Times New Roman"/>
          <w:sz w:val="24"/>
          <w:szCs w:val="24"/>
        </w:rPr>
        <w:t>arzyszeń, wydawnictw, czasopism i baz danych.</w:t>
      </w:r>
      <w:r w:rsidR="0091142C" w:rsidRPr="006055E0">
        <w:rPr>
          <w:rFonts w:ascii="Times New Roman" w:hAnsi="Times New Roman" w:cs="Times New Roman"/>
          <w:sz w:val="24"/>
          <w:szCs w:val="24"/>
        </w:rPr>
        <w:t xml:space="preserve"> </w:t>
      </w:r>
      <w:r w:rsidR="002F39FA" w:rsidRPr="006055E0">
        <w:rPr>
          <w:rFonts w:ascii="Times New Roman" w:hAnsi="Times New Roman" w:cs="Times New Roman"/>
          <w:sz w:val="24"/>
          <w:szCs w:val="24"/>
        </w:rPr>
        <w:t>W</w:t>
      </w:r>
      <w:r w:rsidR="0091142C" w:rsidRPr="006055E0">
        <w:rPr>
          <w:rFonts w:ascii="Times New Roman" w:hAnsi="Times New Roman" w:cs="Times New Roman"/>
          <w:sz w:val="24"/>
          <w:szCs w:val="24"/>
        </w:rPr>
        <w:t xml:space="preserve"> tym ujęciu mobilność studentów i naukowców, a </w:t>
      </w:r>
      <w:r w:rsidR="00BC522D">
        <w:rPr>
          <w:rFonts w:ascii="Times New Roman" w:hAnsi="Times New Roman" w:cs="Times New Roman"/>
          <w:sz w:val="24"/>
          <w:szCs w:val="24"/>
        </w:rPr>
        <w:t xml:space="preserve">zwłaszcza </w:t>
      </w:r>
      <w:r w:rsidR="0091142C" w:rsidRPr="006055E0">
        <w:rPr>
          <w:rFonts w:ascii="Times New Roman" w:hAnsi="Times New Roman" w:cs="Times New Roman"/>
          <w:sz w:val="24"/>
          <w:szCs w:val="24"/>
        </w:rPr>
        <w:t>ich napływ, przyczynia się do maksymalizacji zysków intelektualnych</w:t>
      </w:r>
      <w:r w:rsidR="002F39FA" w:rsidRPr="006055E0">
        <w:rPr>
          <w:rFonts w:ascii="Times New Roman" w:hAnsi="Times New Roman" w:cs="Times New Roman"/>
          <w:sz w:val="24"/>
          <w:szCs w:val="24"/>
        </w:rPr>
        <w:t xml:space="preserve"> danego kraju. </w:t>
      </w:r>
      <w:r w:rsidR="00114D9B">
        <w:rPr>
          <w:rFonts w:ascii="Times New Roman" w:hAnsi="Times New Roman" w:cs="Times New Roman"/>
          <w:sz w:val="24"/>
          <w:szCs w:val="24"/>
        </w:rPr>
        <w:t xml:space="preserve">Przyjeżdżające osoby </w:t>
      </w:r>
      <w:r w:rsidR="002F39FA" w:rsidRPr="006055E0">
        <w:rPr>
          <w:rFonts w:ascii="Times New Roman" w:hAnsi="Times New Roman" w:cs="Times New Roman"/>
          <w:sz w:val="24"/>
          <w:szCs w:val="24"/>
        </w:rPr>
        <w:t>coraz częściej uzupełniają również braki wynikające z niedoborów demograficznych świata rozwiniętego.</w:t>
      </w:r>
    </w:p>
    <w:p w:rsidR="00920528" w:rsidRPr="006055E0" w:rsidRDefault="00920528" w:rsidP="00554756">
      <w:pPr>
        <w:spacing w:after="0" w:line="360" w:lineRule="auto"/>
        <w:ind w:firstLine="363"/>
        <w:jc w:val="both"/>
        <w:rPr>
          <w:rFonts w:ascii="Times New Roman" w:hAnsi="Times New Roman" w:cs="Times New Roman"/>
          <w:sz w:val="24"/>
          <w:szCs w:val="24"/>
        </w:rPr>
      </w:pPr>
      <w:r>
        <w:rPr>
          <w:rFonts w:ascii="Times New Roman" w:hAnsi="Times New Roman" w:cs="Times New Roman"/>
          <w:sz w:val="24"/>
          <w:szCs w:val="24"/>
        </w:rPr>
        <w:t xml:space="preserve">Artykuł ten jest próbą omówienia zjawiska </w:t>
      </w:r>
      <w:r w:rsidR="007A777A">
        <w:rPr>
          <w:rFonts w:ascii="Times New Roman" w:hAnsi="Times New Roman" w:cs="Times New Roman"/>
          <w:sz w:val="24"/>
          <w:szCs w:val="24"/>
        </w:rPr>
        <w:t xml:space="preserve">umiędzynarodowienia szkolnictwa wyższego, warunków jego rozwoju, ze szczególnym uwzględnieniem specyfiku polskiego rynku edukacyjnego. </w:t>
      </w:r>
    </w:p>
    <w:p w:rsidR="0002500F" w:rsidRPr="00606478" w:rsidRDefault="00744F61" w:rsidP="003E614E">
      <w:pPr>
        <w:pStyle w:val="Nagwek1"/>
        <w:rPr>
          <w:sz w:val="24"/>
          <w:szCs w:val="24"/>
        </w:rPr>
      </w:pPr>
      <w:r w:rsidRPr="00606478">
        <w:rPr>
          <w:sz w:val="24"/>
          <w:szCs w:val="24"/>
        </w:rPr>
        <w:t>R</w:t>
      </w:r>
      <w:r w:rsidRPr="003E614E">
        <w:t>amy internacjonalizacji</w:t>
      </w:r>
      <w:r w:rsidR="00606478" w:rsidRPr="003E614E">
        <w:t xml:space="preserve"> szkolnictwa wyższego w</w:t>
      </w:r>
      <w:r w:rsidRPr="003E614E">
        <w:t xml:space="preserve"> Europie i na świecie</w:t>
      </w:r>
    </w:p>
    <w:p w:rsidR="003E614E" w:rsidRDefault="006C1DFB" w:rsidP="003E614E">
      <w:pPr>
        <w:spacing w:after="0" w:line="360" w:lineRule="auto"/>
        <w:ind w:firstLine="360"/>
        <w:jc w:val="both"/>
        <w:rPr>
          <w:rFonts w:ascii="Times New Roman" w:hAnsi="Times New Roman" w:cs="Times New Roman"/>
          <w:sz w:val="24"/>
          <w:szCs w:val="24"/>
        </w:rPr>
      </w:pPr>
      <w:r w:rsidRPr="00E73DA7">
        <w:rPr>
          <w:rFonts w:ascii="Times New Roman" w:hAnsi="Times New Roman" w:cs="Times New Roman"/>
          <w:sz w:val="24"/>
          <w:szCs w:val="24"/>
        </w:rPr>
        <w:t>Potrzebę internacjonalizacji</w:t>
      </w:r>
      <w:r w:rsidR="00EE6BAC">
        <w:rPr>
          <w:rFonts w:ascii="Times New Roman" w:hAnsi="Times New Roman" w:cs="Times New Roman"/>
          <w:sz w:val="24"/>
          <w:szCs w:val="24"/>
        </w:rPr>
        <w:t xml:space="preserve"> – </w:t>
      </w:r>
      <w:r w:rsidRPr="00E73DA7">
        <w:rPr>
          <w:rFonts w:ascii="Times New Roman" w:hAnsi="Times New Roman" w:cs="Times New Roman"/>
          <w:sz w:val="24"/>
          <w:szCs w:val="24"/>
        </w:rPr>
        <w:t>zarówno badań, jak i dydaktyki w szkolnictwie wyższym</w:t>
      </w:r>
      <w:r w:rsidR="00EE6BAC">
        <w:rPr>
          <w:rFonts w:ascii="Times New Roman" w:hAnsi="Times New Roman"/>
          <w:sz w:val="24"/>
        </w:rPr>
        <w:t xml:space="preserve"> – </w:t>
      </w:r>
      <w:r w:rsidR="00AB77A3" w:rsidRPr="00AB77A3">
        <w:rPr>
          <w:rFonts w:ascii="Times New Roman" w:hAnsi="Times New Roman"/>
          <w:sz w:val="24"/>
        </w:rPr>
        <w:t xml:space="preserve">dostrzegano już od czasów powojennych, kiedy takie rozwiązania promowało UNESCO, </w:t>
      </w:r>
      <w:r w:rsidR="00AB77A3" w:rsidRPr="00AB77A3">
        <w:rPr>
          <w:rFonts w:ascii="Times New Roman" w:hAnsi="Times New Roman"/>
          <w:sz w:val="24"/>
        </w:rPr>
        <w:lastRenderedPageBreak/>
        <w:t>powołując się zresztą na dobre, dziewiętnastowieczne doświadczenia</w:t>
      </w:r>
      <w:r w:rsidRPr="006055E0">
        <w:rPr>
          <w:rStyle w:val="Odwoanieprzypisudolnego"/>
          <w:rFonts w:ascii="Times New Roman" w:hAnsi="Times New Roman" w:cs="Times New Roman"/>
          <w:sz w:val="24"/>
          <w:szCs w:val="24"/>
        </w:rPr>
        <w:footnoteReference w:id="1"/>
      </w:r>
      <w:r>
        <w:rPr>
          <w:rFonts w:ascii="Times New Roman" w:hAnsi="Times New Roman" w:cs="Times New Roman"/>
          <w:sz w:val="24"/>
          <w:szCs w:val="24"/>
        </w:rPr>
        <w:t xml:space="preserve">. Przez </w:t>
      </w:r>
      <w:r w:rsidR="00C02461">
        <w:rPr>
          <w:rFonts w:ascii="Times New Roman" w:hAnsi="Times New Roman" w:cs="Times New Roman"/>
          <w:sz w:val="24"/>
          <w:szCs w:val="24"/>
        </w:rPr>
        <w:t xml:space="preserve">dziesiątki lat brakowało </w:t>
      </w:r>
      <w:r>
        <w:rPr>
          <w:rFonts w:ascii="Times New Roman" w:hAnsi="Times New Roman" w:cs="Times New Roman"/>
          <w:sz w:val="24"/>
          <w:szCs w:val="24"/>
        </w:rPr>
        <w:t xml:space="preserve">narzędzi, które pozwoliłyby na dokonanie zmiany jakościowej i ilościowej w stosunku do programów współpracy bilateralnej pomiędzy poszczególnymi państwami. </w:t>
      </w:r>
      <w:r w:rsidR="00C02461">
        <w:rPr>
          <w:rFonts w:ascii="Times New Roman" w:hAnsi="Times New Roman" w:cs="Times New Roman"/>
          <w:sz w:val="24"/>
          <w:szCs w:val="24"/>
        </w:rPr>
        <w:t>Jednym z możliwych narzędzi</w:t>
      </w:r>
      <w:r w:rsidR="00BF2291">
        <w:rPr>
          <w:rFonts w:ascii="Times New Roman" w:hAnsi="Times New Roman" w:cs="Times New Roman"/>
          <w:sz w:val="24"/>
          <w:szCs w:val="24"/>
        </w:rPr>
        <w:t>, przynajmniej w przestrzeni e</w:t>
      </w:r>
      <w:r>
        <w:rPr>
          <w:rFonts w:ascii="Times New Roman" w:hAnsi="Times New Roman" w:cs="Times New Roman"/>
          <w:sz w:val="24"/>
          <w:szCs w:val="24"/>
        </w:rPr>
        <w:t>uropejskiej</w:t>
      </w:r>
      <w:r w:rsidR="004023B0">
        <w:rPr>
          <w:rFonts w:ascii="Times New Roman" w:hAnsi="Times New Roman" w:cs="Times New Roman"/>
          <w:sz w:val="24"/>
          <w:szCs w:val="24"/>
        </w:rPr>
        <w:t>,</w:t>
      </w:r>
      <w:r>
        <w:rPr>
          <w:rFonts w:ascii="Times New Roman" w:hAnsi="Times New Roman" w:cs="Times New Roman"/>
          <w:sz w:val="24"/>
          <w:szCs w:val="24"/>
        </w:rPr>
        <w:t xml:space="preserve"> stał się</w:t>
      </w:r>
      <w:r w:rsidRPr="006055E0">
        <w:rPr>
          <w:rFonts w:ascii="Times New Roman" w:hAnsi="Times New Roman" w:cs="Times New Roman"/>
          <w:sz w:val="24"/>
          <w:szCs w:val="24"/>
        </w:rPr>
        <w:t xml:space="preserve"> program E</w:t>
      </w:r>
      <w:r>
        <w:rPr>
          <w:rFonts w:ascii="Times New Roman" w:hAnsi="Times New Roman" w:cs="Times New Roman"/>
          <w:sz w:val="24"/>
          <w:szCs w:val="24"/>
        </w:rPr>
        <w:t>rasmus (</w:t>
      </w:r>
      <w:proofErr w:type="spellStart"/>
      <w:r w:rsidRPr="006055E0">
        <w:rPr>
          <w:rFonts w:ascii="Times New Roman" w:hAnsi="Times New Roman" w:cs="Times New Roman"/>
          <w:sz w:val="24"/>
          <w:szCs w:val="24"/>
        </w:rPr>
        <w:t>European</w:t>
      </w:r>
      <w:proofErr w:type="spellEnd"/>
      <w:r w:rsidRPr="006055E0">
        <w:rPr>
          <w:rFonts w:ascii="Times New Roman" w:hAnsi="Times New Roman" w:cs="Times New Roman"/>
          <w:sz w:val="24"/>
          <w:szCs w:val="24"/>
        </w:rPr>
        <w:t xml:space="preserve"> Action </w:t>
      </w:r>
      <w:proofErr w:type="spellStart"/>
      <w:r w:rsidRPr="006055E0">
        <w:rPr>
          <w:rFonts w:ascii="Times New Roman" w:hAnsi="Times New Roman" w:cs="Times New Roman"/>
          <w:sz w:val="24"/>
          <w:szCs w:val="24"/>
        </w:rPr>
        <w:t>Scheme</w:t>
      </w:r>
      <w:proofErr w:type="spellEnd"/>
      <w:r w:rsidRPr="006055E0">
        <w:rPr>
          <w:rFonts w:ascii="Times New Roman" w:hAnsi="Times New Roman" w:cs="Times New Roman"/>
          <w:sz w:val="24"/>
          <w:szCs w:val="24"/>
        </w:rPr>
        <w:t xml:space="preserve"> for the Mobility of University </w:t>
      </w:r>
      <w:proofErr w:type="spellStart"/>
      <w:r w:rsidRPr="006055E0">
        <w:rPr>
          <w:rFonts w:ascii="Times New Roman" w:hAnsi="Times New Roman" w:cs="Times New Roman"/>
          <w:sz w:val="24"/>
          <w:szCs w:val="24"/>
        </w:rPr>
        <w:t>Students</w:t>
      </w:r>
      <w:proofErr w:type="spellEnd"/>
      <w:r w:rsidR="004023B0">
        <w:rPr>
          <w:rFonts w:ascii="Times New Roman" w:hAnsi="Times New Roman" w:cs="Times New Roman"/>
          <w:sz w:val="24"/>
          <w:szCs w:val="24"/>
        </w:rPr>
        <w:t>) –</w:t>
      </w:r>
      <w:r w:rsidR="004023B0" w:rsidRPr="004023B0">
        <w:rPr>
          <w:rFonts w:ascii="Times New Roman" w:hAnsi="Times New Roman" w:cs="Times New Roman"/>
          <w:sz w:val="24"/>
          <w:szCs w:val="24"/>
        </w:rPr>
        <w:t xml:space="preserve"> </w:t>
      </w:r>
      <w:r w:rsidR="004023B0">
        <w:rPr>
          <w:rFonts w:ascii="Times New Roman" w:hAnsi="Times New Roman" w:cs="Times New Roman"/>
          <w:sz w:val="24"/>
          <w:szCs w:val="24"/>
        </w:rPr>
        <w:t>stworzony</w:t>
      </w:r>
      <w:r w:rsidR="004023B0" w:rsidRPr="006055E0">
        <w:rPr>
          <w:rFonts w:ascii="Times New Roman" w:hAnsi="Times New Roman" w:cs="Times New Roman"/>
          <w:sz w:val="24"/>
          <w:szCs w:val="24"/>
        </w:rPr>
        <w:t xml:space="preserve"> w 1987 r.</w:t>
      </w:r>
      <w:r w:rsidR="004023B0">
        <w:rPr>
          <w:rFonts w:ascii="Times New Roman" w:hAnsi="Times New Roman" w:cs="Times New Roman"/>
          <w:sz w:val="24"/>
          <w:szCs w:val="24"/>
        </w:rPr>
        <w:t xml:space="preserve"> przez Komisję Europejską</w:t>
      </w:r>
      <w:r>
        <w:rPr>
          <w:rFonts w:ascii="Times New Roman" w:hAnsi="Times New Roman" w:cs="Times New Roman"/>
          <w:sz w:val="24"/>
          <w:szCs w:val="24"/>
        </w:rPr>
        <w:t>.</w:t>
      </w:r>
      <w:r w:rsidR="001159C2" w:rsidRPr="006055E0">
        <w:rPr>
          <w:rFonts w:ascii="Times New Roman" w:hAnsi="Times New Roman" w:cs="Times New Roman"/>
          <w:sz w:val="24"/>
          <w:szCs w:val="24"/>
        </w:rPr>
        <w:t xml:space="preserve"> </w:t>
      </w:r>
      <w:r w:rsidR="00BF2291">
        <w:rPr>
          <w:rFonts w:ascii="Times New Roman" w:hAnsi="Times New Roman" w:cs="Times New Roman"/>
          <w:sz w:val="24"/>
          <w:szCs w:val="24"/>
        </w:rPr>
        <w:t>Wieloletnie analizy wyników tego programu wskazują, iż</w:t>
      </w:r>
      <w:r w:rsidR="0060686E" w:rsidRPr="006055E0">
        <w:rPr>
          <w:rFonts w:ascii="Times New Roman" w:hAnsi="Times New Roman" w:cs="Times New Roman"/>
          <w:sz w:val="24"/>
          <w:szCs w:val="24"/>
        </w:rPr>
        <w:t xml:space="preserve"> w</w:t>
      </w:r>
      <w:r w:rsidR="000409A5" w:rsidRPr="006055E0">
        <w:rPr>
          <w:rFonts w:ascii="Times New Roman" w:hAnsi="Times New Roman" w:cs="Times New Roman"/>
          <w:sz w:val="24"/>
          <w:szCs w:val="24"/>
        </w:rPr>
        <w:t xml:space="preserve"> dużym stopniu przyczynił się on do międzynarodowego rozwoju zawodowego jego uczestników</w:t>
      </w:r>
      <w:r w:rsidR="00BF2291">
        <w:rPr>
          <w:rFonts w:ascii="Times New Roman" w:hAnsi="Times New Roman" w:cs="Times New Roman"/>
          <w:sz w:val="24"/>
          <w:szCs w:val="24"/>
        </w:rPr>
        <w:t xml:space="preserve">. </w:t>
      </w:r>
      <w:r w:rsidR="00B61F5D">
        <w:rPr>
          <w:rFonts w:ascii="Times New Roman" w:hAnsi="Times New Roman" w:cs="Times New Roman"/>
          <w:sz w:val="24"/>
          <w:szCs w:val="24"/>
        </w:rPr>
        <w:t>Pracodawcy</w:t>
      </w:r>
      <w:r w:rsidR="000409A5" w:rsidRPr="006055E0">
        <w:rPr>
          <w:rFonts w:ascii="Times New Roman" w:hAnsi="Times New Roman" w:cs="Times New Roman"/>
          <w:sz w:val="24"/>
          <w:szCs w:val="24"/>
        </w:rPr>
        <w:t xml:space="preserve"> uznają absolwentów z doświadczeniem międzynarodowym za lepszych od ich kolegów bez tak</w:t>
      </w:r>
      <w:r w:rsidR="00B61F5D">
        <w:rPr>
          <w:rFonts w:ascii="Times New Roman" w:hAnsi="Times New Roman" w:cs="Times New Roman"/>
          <w:sz w:val="24"/>
          <w:szCs w:val="24"/>
        </w:rPr>
        <w:t>iego doświadczenia</w:t>
      </w:r>
      <w:r w:rsidR="003E614E">
        <w:rPr>
          <w:rFonts w:ascii="Times New Roman" w:hAnsi="Times New Roman" w:cs="Times New Roman"/>
          <w:sz w:val="24"/>
          <w:szCs w:val="24"/>
        </w:rPr>
        <w:t xml:space="preserve"> (</w:t>
      </w:r>
      <w:proofErr w:type="spellStart"/>
      <w:r w:rsidR="003E614E">
        <w:rPr>
          <w:rFonts w:ascii="Times New Roman" w:hAnsi="Times New Roman" w:cs="Times New Roman"/>
          <w:sz w:val="24"/>
          <w:szCs w:val="24"/>
        </w:rPr>
        <w:t>Bracht</w:t>
      </w:r>
      <w:proofErr w:type="spellEnd"/>
      <w:r w:rsidR="003E614E">
        <w:rPr>
          <w:rFonts w:ascii="Times New Roman" w:hAnsi="Times New Roman" w:cs="Times New Roman"/>
          <w:sz w:val="24"/>
          <w:szCs w:val="24"/>
        </w:rPr>
        <w:t xml:space="preserve"> et </w:t>
      </w:r>
      <w:proofErr w:type="spellStart"/>
      <w:r w:rsidR="003E614E">
        <w:rPr>
          <w:rFonts w:ascii="Times New Roman" w:hAnsi="Times New Roman" w:cs="Times New Roman"/>
          <w:sz w:val="24"/>
          <w:szCs w:val="24"/>
        </w:rPr>
        <w:t>alli</w:t>
      </w:r>
      <w:proofErr w:type="spellEnd"/>
      <w:r w:rsidR="003E614E">
        <w:rPr>
          <w:rFonts w:ascii="Times New Roman" w:hAnsi="Times New Roman" w:cs="Times New Roman"/>
          <w:sz w:val="24"/>
          <w:szCs w:val="24"/>
        </w:rPr>
        <w:t>., 2006)</w:t>
      </w:r>
      <w:r w:rsidR="000409A5" w:rsidRPr="006055E0">
        <w:rPr>
          <w:rFonts w:ascii="Times New Roman" w:hAnsi="Times New Roman" w:cs="Times New Roman"/>
          <w:sz w:val="24"/>
          <w:szCs w:val="24"/>
        </w:rPr>
        <w:t>.</w:t>
      </w:r>
      <w:r w:rsidR="00A85FC9" w:rsidRPr="006055E0">
        <w:rPr>
          <w:rFonts w:ascii="Times New Roman" w:hAnsi="Times New Roman" w:cs="Times New Roman"/>
          <w:sz w:val="24"/>
          <w:szCs w:val="24"/>
        </w:rPr>
        <w:t xml:space="preserve"> </w:t>
      </w:r>
      <w:r w:rsidR="00F16187">
        <w:rPr>
          <w:rFonts w:ascii="Times New Roman" w:hAnsi="Times New Roman" w:cs="Times New Roman"/>
          <w:sz w:val="24"/>
          <w:szCs w:val="24"/>
        </w:rPr>
        <w:t>Jednak program Erasmus (aktualnie Erasmus +) to niewątpliwie również narzędzie przemian społecznych</w:t>
      </w:r>
      <w:r w:rsidR="00781361">
        <w:rPr>
          <w:rFonts w:ascii="Times New Roman" w:hAnsi="Times New Roman" w:cs="Times New Roman"/>
          <w:sz w:val="24"/>
          <w:szCs w:val="24"/>
        </w:rPr>
        <w:t xml:space="preserve"> sprzyjające w szczególności przełamywaniu barier kulturowych, czy wręcz łączeniu kultur</w:t>
      </w:r>
      <w:r w:rsidR="00F16187">
        <w:rPr>
          <w:rFonts w:ascii="Times New Roman" w:hAnsi="Times New Roman" w:cs="Times New Roman"/>
          <w:sz w:val="24"/>
          <w:szCs w:val="24"/>
        </w:rPr>
        <w:t xml:space="preserve">. </w:t>
      </w:r>
      <w:r w:rsidR="00A44F65">
        <w:rPr>
          <w:rFonts w:ascii="Times New Roman" w:hAnsi="Times New Roman" w:cs="Times New Roman"/>
          <w:sz w:val="24"/>
          <w:szCs w:val="24"/>
        </w:rPr>
        <w:t xml:space="preserve">W interesujący sposób </w:t>
      </w:r>
      <w:r w:rsidR="00A85FC9" w:rsidRPr="006055E0">
        <w:rPr>
          <w:rFonts w:ascii="Times New Roman" w:hAnsi="Times New Roman" w:cs="Times New Roman"/>
          <w:sz w:val="24"/>
          <w:szCs w:val="24"/>
        </w:rPr>
        <w:t xml:space="preserve">wyraził się o programie Umberto Eco: </w:t>
      </w:r>
      <w:r w:rsidR="00AB77A3" w:rsidRPr="00AB77A3">
        <w:rPr>
          <w:rFonts w:ascii="Times New Roman" w:hAnsi="Times New Roman" w:cs="Times New Roman"/>
          <w:sz w:val="24"/>
          <w:szCs w:val="24"/>
        </w:rPr>
        <w:t>[…]</w:t>
      </w:r>
      <w:r w:rsidR="00A85FC9" w:rsidRPr="006055E0">
        <w:rPr>
          <w:rFonts w:ascii="Times New Roman" w:hAnsi="Times New Roman" w:cs="Times New Roman"/>
          <w:i/>
          <w:sz w:val="24"/>
          <w:szCs w:val="24"/>
        </w:rPr>
        <w:t xml:space="preserve"> to właśnie Erasmus stworzył pierwsze pokolenie młodych Europejczyków. Dokonała się tutaj prawdziwa rewolucja seksualna</w:t>
      </w:r>
      <w:r w:rsidR="00A44F65">
        <w:rPr>
          <w:rFonts w:ascii="Times New Roman" w:hAnsi="Times New Roman" w:cs="Times New Roman"/>
          <w:i/>
          <w:sz w:val="24"/>
          <w:szCs w:val="24"/>
        </w:rPr>
        <w:t xml:space="preserve"> </w:t>
      </w:r>
      <w:r w:rsidR="005610CB" w:rsidRPr="005610CB">
        <w:rPr>
          <w:rFonts w:ascii="Times New Roman" w:hAnsi="Times New Roman" w:cs="Times New Roman"/>
          <w:sz w:val="24"/>
          <w:szCs w:val="24"/>
        </w:rPr>
        <w:t xml:space="preserve">– </w:t>
      </w:r>
      <w:r w:rsidR="00A85FC9" w:rsidRPr="006055E0">
        <w:rPr>
          <w:rFonts w:ascii="Times New Roman" w:hAnsi="Times New Roman" w:cs="Times New Roman"/>
          <w:i/>
          <w:sz w:val="24"/>
          <w:szCs w:val="24"/>
        </w:rPr>
        <w:t>młody Katalończyk spotyka młodą Flamandkę, zakochują się w sobie, biorą ślub, stają się Europejczykami, ich dzieci też. Wymiana taka, konieczność spędzenia pewnego czasu w innych krajach Unii</w:t>
      </w:r>
      <w:r w:rsidR="00A44F65">
        <w:rPr>
          <w:rFonts w:ascii="Times New Roman" w:hAnsi="Times New Roman" w:cs="Times New Roman"/>
          <w:i/>
          <w:sz w:val="24"/>
          <w:szCs w:val="24"/>
        </w:rPr>
        <w:t xml:space="preserve"> –</w:t>
      </w:r>
      <w:r w:rsidR="00A85FC9" w:rsidRPr="006055E0">
        <w:rPr>
          <w:rFonts w:ascii="Times New Roman" w:hAnsi="Times New Roman" w:cs="Times New Roman"/>
          <w:i/>
          <w:sz w:val="24"/>
          <w:szCs w:val="24"/>
        </w:rPr>
        <w:t xml:space="preserve"> powinna być obowiązkowa nie tylko dla studentów, ale i taksówkarzy, hydraulików, robotników</w:t>
      </w:r>
      <w:r w:rsidR="003E614E">
        <w:rPr>
          <w:rFonts w:ascii="Times New Roman" w:hAnsi="Times New Roman" w:cs="Times New Roman"/>
          <w:i/>
          <w:sz w:val="24"/>
          <w:szCs w:val="24"/>
        </w:rPr>
        <w:t xml:space="preserve"> </w:t>
      </w:r>
      <w:r w:rsidR="003E614E" w:rsidRPr="003E614E">
        <w:rPr>
          <w:rFonts w:ascii="Times New Roman" w:hAnsi="Times New Roman" w:cs="Times New Roman"/>
          <w:sz w:val="24"/>
          <w:szCs w:val="24"/>
        </w:rPr>
        <w:t>(FRSE, 2012)</w:t>
      </w:r>
      <w:r w:rsidR="00A44F65" w:rsidRPr="003E614E">
        <w:rPr>
          <w:rFonts w:ascii="Times New Roman" w:hAnsi="Times New Roman" w:cs="Times New Roman"/>
          <w:sz w:val="24"/>
          <w:szCs w:val="24"/>
        </w:rPr>
        <w:t>.</w:t>
      </w:r>
      <w:r w:rsidR="00201D11" w:rsidRPr="006055E0">
        <w:rPr>
          <w:rFonts w:ascii="Times New Roman" w:hAnsi="Times New Roman" w:cs="Times New Roman"/>
          <w:sz w:val="24"/>
          <w:szCs w:val="24"/>
        </w:rPr>
        <w:t xml:space="preserve"> </w:t>
      </w:r>
      <w:r w:rsidR="00962F2F">
        <w:rPr>
          <w:rFonts w:ascii="Times New Roman" w:hAnsi="Times New Roman" w:cs="Times New Roman"/>
          <w:sz w:val="24"/>
          <w:szCs w:val="24"/>
        </w:rPr>
        <w:t>To bardzo trafna opinia</w:t>
      </w:r>
      <w:r w:rsidR="00B61F5D">
        <w:rPr>
          <w:rFonts w:ascii="Times New Roman" w:hAnsi="Times New Roman" w:cs="Times New Roman"/>
          <w:sz w:val="24"/>
          <w:szCs w:val="24"/>
        </w:rPr>
        <w:t xml:space="preserve">, zwłaszcza w kontekście </w:t>
      </w:r>
      <w:r w:rsidR="00BF2291">
        <w:rPr>
          <w:rFonts w:ascii="Times New Roman" w:hAnsi="Times New Roman" w:cs="Times New Roman"/>
          <w:sz w:val="24"/>
          <w:szCs w:val="24"/>
        </w:rPr>
        <w:t>komunikatu prasowego</w:t>
      </w:r>
      <w:r w:rsidR="00B61F5D">
        <w:rPr>
          <w:rFonts w:ascii="Times New Roman" w:hAnsi="Times New Roman" w:cs="Times New Roman"/>
          <w:sz w:val="24"/>
          <w:szCs w:val="24"/>
        </w:rPr>
        <w:t xml:space="preserve"> Komisji Europejskiej, z której szacunków wynika, </w:t>
      </w:r>
      <w:r w:rsidR="00BF2291">
        <w:rPr>
          <w:rFonts w:ascii="Times New Roman" w:hAnsi="Times New Roman" w:cs="Times New Roman"/>
          <w:sz w:val="24"/>
          <w:szCs w:val="24"/>
        </w:rPr>
        <w:t>że</w:t>
      </w:r>
      <w:r w:rsidR="00B61F5D">
        <w:rPr>
          <w:rFonts w:ascii="Times New Roman" w:hAnsi="Times New Roman" w:cs="Times New Roman"/>
          <w:sz w:val="24"/>
          <w:szCs w:val="24"/>
        </w:rPr>
        <w:t xml:space="preserve"> dzięki </w:t>
      </w:r>
      <w:r w:rsidR="00273A87">
        <w:rPr>
          <w:rFonts w:ascii="Times New Roman" w:hAnsi="Times New Roman" w:cs="Times New Roman"/>
          <w:sz w:val="24"/>
          <w:szCs w:val="24"/>
        </w:rPr>
        <w:t xml:space="preserve">programowi Erasmus od początku jego istnienia </w:t>
      </w:r>
      <w:r w:rsidR="00B61F5D">
        <w:rPr>
          <w:rFonts w:ascii="Times New Roman" w:hAnsi="Times New Roman" w:cs="Times New Roman"/>
          <w:sz w:val="24"/>
          <w:szCs w:val="24"/>
        </w:rPr>
        <w:t>na świat przyszło milion dzieci</w:t>
      </w:r>
      <w:r w:rsidR="003E614E" w:rsidRPr="003E614E">
        <w:t xml:space="preserve"> </w:t>
      </w:r>
      <w:r w:rsidR="003E614E" w:rsidRPr="003E614E">
        <w:rPr>
          <w:rFonts w:ascii="Times New Roman" w:hAnsi="Times New Roman" w:cs="Times New Roman"/>
          <w:sz w:val="24"/>
          <w:szCs w:val="24"/>
        </w:rPr>
        <w:t>(KE,2014)</w:t>
      </w:r>
      <w:r w:rsidR="00962F2F">
        <w:rPr>
          <w:rFonts w:ascii="Times New Roman" w:hAnsi="Times New Roman" w:cs="Times New Roman"/>
          <w:sz w:val="24"/>
          <w:szCs w:val="24"/>
        </w:rPr>
        <w:t>.</w:t>
      </w:r>
    </w:p>
    <w:p w:rsidR="00787ACA" w:rsidRDefault="009C4975" w:rsidP="00787ACA">
      <w:pPr>
        <w:spacing w:after="0" w:line="360" w:lineRule="auto"/>
        <w:ind w:firstLine="360"/>
        <w:jc w:val="both"/>
        <w:rPr>
          <w:rFonts w:ascii="Times New Roman" w:hAnsi="Times New Roman" w:cs="Times New Roman"/>
          <w:sz w:val="24"/>
          <w:szCs w:val="24"/>
        </w:rPr>
      </w:pPr>
      <w:r w:rsidRPr="006055E0">
        <w:rPr>
          <w:rFonts w:ascii="Times New Roman" w:hAnsi="Times New Roman" w:cs="Times New Roman"/>
          <w:sz w:val="24"/>
          <w:szCs w:val="24"/>
        </w:rPr>
        <w:t>Innym b</w:t>
      </w:r>
      <w:r w:rsidR="00760685" w:rsidRPr="006055E0">
        <w:rPr>
          <w:rFonts w:ascii="Times New Roman" w:hAnsi="Times New Roman" w:cs="Times New Roman"/>
          <w:sz w:val="24"/>
          <w:szCs w:val="24"/>
        </w:rPr>
        <w:t xml:space="preserve">ardzo ważnym programem w przestrzeni europejskiej był i nadal jest </w:t>
      </w:r>
      <w:r w:rsidR="00254F4A">
        <w:rPr>
          <w:rFonts w:ascii="Times New Roman" w:hAnsi="Times New Roman" w:cs="Times New Roman"/>
          <w:sz w:val="24"/>
          <w:szCs w:val="24"/>
        </w:rPr>
        <w:t xml:space="preserve">program </w:t>
      </w:r>
      <w:r w:rsidR="00760685" w:rsidRPr="006055E0">
        <w:rPr>
          <w:rFonts w:ascii="Times New Roman" w:hAnsi="Times New Roman" w:cs="Times New Roman"/>
          <w:sz w:val="24"/>
          <w:szCs w:val="24"/>
        </w:rPr>
        <w:t xml:space="preserve">TEMPUS </w:t>
      </w:r>
      <w:r w:rsidR="00760685" w:rsidRPr="006055E0">
        <w:rPr>
          <w:rFonts w:ascii="Times New Roman" w:hAnsi="Times New Roman" w:cs="Times New Roman"/>
          <w:color w:val="222222"/>
          <w:sz w:val="24"/>
          <w:szCs w:val="24"/>
        </w:rPr>
        <w:t>(</w:t>
      </w:r>
      <w:r w:rsidR="00760685" w:rsidRPr="006055E0">
        <w:rPr>
          <w:rFonts w:ascii="Times New Roman" w:hAnsi="Times New Roman" w:cs="Times New Roman"/>
          <w:sz w:val="24"/>
          <w:szCs w:val="24"/>
        </w:rPr>
        <w:t>Trans-</w:t>
      </w:r>
      <w:proofErr w:type="spellStart"/>
      <w:r w:rsidR="00760685" w:rsidRPr="006055E0">
        <w:rPr>
          <w:rFonts w:ascii="Times New Roman" w:hAnsi="Times New Roman" w:cs="Times New Roman"/>
          <w:sz w:val="24"/>
          <w:szCs w:val="24"/>
        </w:rPr>
        <w:t>European</w:t>
      </w:r>
      <w:proofErr w:type="spellEnd"/>
      <w:r w:rsidR="00760685" w:rsidRPr="006055E0">
        <w:rPr>
          <w:rFonts w:ascii="Times New Roman" w:hAnsi="Times New Roman" w:cs="Times New Roman"/>
          <w:sz w:val="24"/>
          <w:szCs w:val="24"/>
        </w:rPr>
        <w:t xml:space="preserve"> Mobility </w:t>
      </w:r>
      <w:proofErr w:type="spellStart"/>
      <w:r w:rsidR="00760685" w:rsidRPr="006055E0">
        <w:rPr>
          <w:rFonts w:ascii="Times New Roman" w:hAnsi="Times New Roman" w:cs="Times New Roman"/>
          <w:sz w:val="24"/>
          <w:szCs w:val="24"/>
        </w:rPr>
        <w:t>Scheme</w:t>
      </w:r>
      <w:proofErr w:type="spellEnd"/>
      <w:r w:rsidR="00760685" w:rsidRPr="006055E0">
        <w:rPr>
          <w:rFonts w:ascii="Times New Roman" w:hAnsi="Times New Roman" w:cs="Times New Roman"/>
          <w:sz w:val="24"/>
          <w:szCs w:val="24"/>
        </w:rPr>
        <w:t xml:space="preserve"> for University </w:t>
      </w:r>
      <w:proofErr w:type="spellStart"/>
      <w:r w:rsidR="00760685" w:rsidRPr="006055E0">
        <w:rPr>
          <w:rFonts w:ascii="Times New Roman" w:hAnsi="Times New Roman" w:cs="Times New Roman"/>
          <w:sz w:val="24"/>
          <w:szCs w:val="24"/>
        </w:rPr>
        <w:t>Studies</w:t>
      </w:r>
      <w:proofErr w:type="spellEnd"/>
      <w:r w:rsidR="00760685" w:rsidRPr="006055E0">
        <w:rPr>
          <w:rFonts w:ascii="Times New Roman" w:hAnsi="Times New Roman" w:cs="Times New Roman"/>
          <w:sz w:val="24"/>
          <w:szCs w:val="24"/>
        </w:rPr>
        <w:t>, 1990 r.).</w:t>
      </w:r>
      <w:r w:rsidR="00760685" w:rsidRPr="006055E0">
        <w:rPr>
          <w:rFonts w:ascii="Times New Roman" w:hAnsi="Times New Roman" w:cs="Times New Roman"/>
          <w:color w:val="222222"/>
          <w:sz w:val="24"/>
          <w:szCs w:val="24"/>
        </w:rPr>
        <w:t xml:space="preserve"> </w:t>
      </w:r>
      <w:r w:rsidR="00A44F65">
        <w:rPr>
          <w:rFonts w:ascii="Times New Roman" w:hAnsi="Times New Roman" w:cs="Times New Roman"/>
          <w:color w:val="222222"/>
          <w:sz w:val="24"/>
          <w:szCs w:val="24"/>
        </w:rPr>
        <w:t xml:space="preserve">Z kolei </w:t>
      </w:r>
      <w:r w:rsidR="00FF3614">
        <w:rPr>
          <w:rFonts w:ascii="Times New Roman" w:hAnsi="Times New Roman" w:cs="Times New Roman"/>
          <w:sz w:val="24"/>
          <w:szCs w:val="24"/>
        </w:rPr>
        <w:t>d</w:t>
      </w:r>
      <w:r w:rsidR="00201D11" w:rsidRPr="006055E0">
        <w:rPr>
          <w:rFonts w:ascii="Times New Roman" w:hAnsi="Times New Roman" w:cs="Times New Roman"/>
          <w:sz w:val="24"/>
          <w:szCs w:val="24"/>
        </w:rPr>
        <w:t xml:space="preserve">eklaracja </w:t>
      </w:r>
      <w:r w:rsidR="00FF3614">
        <w:rPr>
          <w:rFonts w:ascii="Times New Roman" w:hAnsi="Times New Roman" w:cs="Times New Roman"/>
          <w:sz w:val="24"/>
          <w:szCs w:val="24"/>
        </w:rPr>
        <w:t>b</w:t>
      </w:r>
      <w:r w:rsidR="00201D11" w:rsidRPr="006055E0">
        <w:rPr>
          <w:rFonts w:ascii="Times New Roman" w:hAnsi="Times New Roman" w:cs="Times New Roman"/>
          <w:sz w:val="24"/>
          <w:szCs w:val="24"/>
        </w:rPr>
        <w:t xml:space="preserve">olońska, podpisana w 1999 r. stała się punktem wyjścia do utworzenia </w:t>
      </w:r>
      <w:r w:rsidR="00962F2F">
        <w:rPr>
          <w:rFonts w:ascii="Times New Roman" w:hAnsi="Times New Roman" w:cs="Times New Roman"/>
          <w:sz w:val="24"/>
          <w:szCs w:val="24"/>
        </w:rPr>
        <w:t>e</w:t>
      </w:r>
      <w:r w:rsidR="00201D11" w:rsidRPr="006055E0">
        <w:rPr>
          <w:rFonts w:ascii="Times New Roman" w:hAnsi="Times New Roman" w:cs="Times New Roman"/>
          <w:sz w:val="24"/>
          <w:szCs w:val="24"/>
        </w:rPr>
        <w:t>uropejskie</w:t>
      </w:r>
      <w:r w:rsidR="00962F2F">
        <w:rPr>
          <w:rFonts w:ascii="Times New Roman" w:hAnsi="Times New Roman" w:cs="Times New Roman"/>
          <w:sz w:val="24"/>
          <w:szCs w:val="24"/>
        </w:rPr>
        <w:t>go</w:t>
      </w:r>
      <w:r w:rsidR="00201D11" w:rsidRPr="006055E0">
        <w:rPr>
          <w:rFonts w:ascii="Times New Roman" w:hAnsi="Times New Roman" w:cs="Times New Roman"/>
          <w:sz w:val="24"/>
          <w:szCs w:val="24"/>
        </w:rPr>
        <w:t xml:space="preserve"> </w:t>
      </w:r>
      <w:r w:rsidR="00962F2F">
        <w:rPr>
          <w:rFonts w:ascii="Times New Roman" w:hAnsi="Times New Roman" w:cs="Times New Roman"/>
          <w:sz w:val="24"/>
          <w:szCs w:val="24"/>
        </w:rPr>
        <w:t>obszaru</w:t>
      </w:r>
      <w:r w:rsidR="00201D11" w:rsidRPr="006055E0">
        <w:rPr>
          <w:rFonts w:ascii="Times New Roman" w:hAnsi="Times New Roman" w:cs="Times New Roman"/>
          <w:sz w:val="24"/>
          <w:szCs w:val="24"/>
        </w:rPr>
        <w:t xml:space="preserve"> </w:t>
      </w:r>
      <w:r w:rsidR="00962F2F">
        <w:rPr>
          <w:rFonts w:ascii="Times New Roman" w:hAnsi="Times New Roman" w:cs="Times New Roman"/>
          <w:sz w:val="24"/>
          <w:szCs w:val="24"/>
        </w:rPr>
        <w:t>s</w:t>
      </w:r>
      <w:r w:rsidR="00201D11" w:rsidRPr="006055E0">
        <w:rPr>
          <w:rFonts w:ascii="Times New Roman" w:hAnsi="Times New Roman" w:cs="Times New Roman"/>
          <w:sz w:val="24"/>
          <w:szCs w:val="24"/>
        </w:rPr>
        <w:t xml:space="preserve">zkolnictwa </w:t>
      </w:r>
      <w:r w:rsidR="00962F2F">
        <w:rPr>
          <w:rFonts w:ascii="Times New Roman" w:hAnsi="Times New Roman" w:cs="Times New Roman"/>
          <w:sz w:val="24"/>
          <w:szCs w:val="24"/>
        </w:rPr>
        <w:t>w</w:t>
      </w:r>
      <w:r w:rsidR="00201D11" w:rsidRPr="006055E0">
        <w:rPr>
          <w:rFonts w:ascii="Times New Roman" w:hAnsi="Times New Roman" w:cs="Times New Roman"/>
          <w:sz w:val="24"/>
          <w:szCs w:val="24"/>
        </w:rPr>
        <w:t>yższego (</w:t>
      </w:r>
      <w:proofErr w:type="spellStart"/>
      <w:r w:rsidR="00201D11" w:rsidRPr="006055E0">
        <w:rPr>
          <w:rFonts w:ascii="Times New Roman" w:hAnsi="Times New Roman" w:cs="Times New Roman"/>
          <w:sz w:val="24"/>
          <w:szCs w:val="24"/>
        </w:rPr>
        <w:t>European</w:t>
      </w:r>
      <w:proofErr w:type="spellEnd"/>
      <w:r w:rsidR="00201D11" w:rsidRPr="006055E0">
        <w:rPr>
          <w:rFonts w:ascii="Times New Roman" w:hAnsi="Times New Roman" w:cs="Times New Roman"/>
          <w:sz w:val="24"/>
          <w:szCs w:val="24"/>
        </w:rPr>
        <w:t xml:space="preserve"> </w:t>
      </w:r>
      <w:proofErr w:type="spellStart"/>
      <w:r w:rsidR="00201D11" w:rsidRPr="006055E0">
        <w:rPr>
          <w:rFonts w:ascii="Times New Roman" w:hAnsi="Times New Roman" w:cs="Times New Roman"/>
          <w:sz w:val="24"/>
          <w:szCs w:val="24"/>
        </w:rPr>
        <w:t>Higher</w:t>
      </w:r>
      <w:proofErr w:type="spellEnd"/>
      <w:r w:rsidR="00201D11" w:rsidRPr="006055E0">
        <w:rPr>
          <w:rFonts w:ascii="Times New Roman" w:hAnsi="Times New Roman" w:cs="Times New Roman"/>
          <w:sz w:val="24"/>
          <w:szCs w:val="24"/>
        </w:rPr>
        <w:t xml:space="preserve"> </w:t>
      </w:r>
      <w:proofErr w:type="spellStart"/>
      <w:r w:rsidR="00201D11" w:rsidRPr="006055E0">
        <w:rPr>
          <w:rFonts w:ascii="Times New Roman" w:hAnsi="Times New Roman" w:cs="Times New Roman"/>
          <w:sz w:val="24"/>
          <w:szCs w:val="24"/>
        </w:rPr>
        <w:t>Education</w:t>
      </w:r>
      <w:proofErr w:type="spellEnd"/>
      <w:r w:rsidR="00201D11" w:rsidRPr="006055E0">
        <w:rPr>
          <w:rFonts w:ascii="Times New Roman" w:hAnsi="Times New Roman" w:cs="Times New Roman"/>
          <w:sz w:val="24"/>
          <w:szCs w:val="24"/>
        </w:rPr>
        <w:t xml:space="preserve"> </w:t>
      </w:r>
      <w:proofErr w:type="spellStart"/>
      <w:r w:rsidR="00201D11" w:rsidRPr="006055E0">
        <w:rPr>
          <w:rFonts w:ascii="Times New Roman" w:hAnsi="Times New Roman" w:cs="Times New Roman"/>
          <w:sz w:val="24"/>
          <w:szCs w:val="24"/>
        </w:rPr>
        <w:t>Area</w:t>
      </w:r>
      <w:proofErr w:type="spellEnd"/>
      <w:r w:rsidR="000D4D35" w:rsidRPr="006055E0">
        <w:rPr>
          <w:rFonts w:ascii="Times New Roman" w:hAnsi="Times New Roman" w:cs="Times New Roman"/>
          <w:sz w:val="24"/>
          <w:szCs w:val="24"/>
        </w:rPr>
        <w:t>,</w:t>
      </w:r>
      <w:r w:rsidR="00201D11" w:rsidRPr="006055E0">
        <w:rPr>
          <w:rFonts w:ascii="Times New Roman" w:hAnsi="Times New Roman" w:cs="Times New Roman"/>
          <w:sz w:val="24"/>
          <w:szCs w:val="24"/>
        </w:rPr>
        <w:t xml:space="preserve"> EHEA), a co za tym idzie, promocji szkolnictwa europejskiego na całym świecie.</w:t>
      </w:r>
      <w:r w:rsidR="001B5FFE" w:rsidRPr="006055E0">
        <w:rPr>
          <w:rFonts w:ascii="Times New Roman" w:hAnsi="Times New Roman" w:cs="Times New Roman"/>
          <w:sz w:val="24"/>
          <w:szCs w:val="24"/>
        </w:rPr>
        <w:t xml:space="preserve"> </w:t>
      </w:r>
      <w:r w:rsidR="003E614E" w:rsidRPr="00C02461">
        <w:rPr>
          <w:rFonts w:ascii="Times New Roman" w:hAnsi="Times New Roman" w:cs="Times New Roman"/>
          <w:sz w:val="24"/>
          <w:szCs w:val="24"/>
        </w:rPr>
        <w:t>Kluczowymi dla procesu internacjonalizacji stały się niewątpliwie kierunki rozwoju procesu bolońskiego</w:t>
      </w:r>
      <w:r w:rsidR="003E614E">
        <w:rPr>
          <w:rFonts w:ascii="Times New Roman" w:hAnsi="Times New Roman" w:cs="Times New Roman"/>
          <w:sz w:val="24"/>
          <w:szCs w:val="24"/>
        </w:rPr>
        <w:t xml:space="preserve"> </w:t>
      </w:r>
      <w:r w:rsidR="003E614E" w:rsidRPr="00C02461">
        <w:rPr>
          <w:rFonts w:ascii="Times New Roman" w:hAnsi="Times New Roman" w:cs="Times New Roman"/>
          <w:sz w:val="24"/>
          <w:szCs w:val="24"/>
        </w:rPr>
        <w:t>zaproponowane po 2010 r. Pierwszym był obszar formowania krajowych ram kwalifikacji (</w:t>
      </w:r>
      <w:proofErr w:type="spellStart"/>
      <w:r w:rsidR="003E614E" w:rsidRPr="00C02461">
        <w:rPr>
          <w:rFonts w:ascii="Times New Roman" w:hAnsi="Times New Roman" w:cs="Times New Roman"/>
          <w:sz w:val="24"/>
          <w:szCs w:val="24"/>
        </w:rPr>
        <w:t>National</w:t>
      </w:r>
      <w:proofErr w:type="spellEnd"/>
      <w:r w:rsidR="003E614E" w:rsidRPr="00C02461">
        <w:rPr>
          <w:rFonts w:ascii="Times New Roman" w:hAnsi="Times New Roman" w:cs="Times New Roman"/>
          <w:sz w:val="24"/>
          <w:szCs w:val="24"/>
        </w:rPr>
        <w:t xml:space="preserve"> </w:t>
      </w:r>
      <w:proofErr w:type="spellStart"/>
      <w:r w:rsidR="003E614E" w:rsidRPr="00C02461">
        <w:rPr>
          <w:rFonts w:ascii="Times New Roman" w:hAnsi="Times New Roman" w:cs="Times New Roman"/>
          <w:sz w:val="24"/>
          <w:szCs w:val="24"/>
        </w:rPr>
        <w:t>Qualification</w:t>
      </w:r>
      <w:proofErr w:type="spellEnd"/>
      <w:r w:rsidR="003E614E" w:rsidRPr="00C02461">
        <w:rPr>
          <w:rFonts w:ascii="Times New Roman" w:hAnsi="Times New Roman" w:cs="Times New Roman"/>
          <w:sz w:val="24"/>
          <w:szCs w:val="24"/>
        </w:rPr>
        <w:t xml:space="preserve"> </w:t>
      </w:r>
      <w:proofErr w:type="spellStart"/>
      <w:r w:rsidR="003E614E" w:rsidRPr="00C02461">
        <w:rPr>
          <w:rFonts w:ascii="Times New Roman" w:hAnsi="Times New Roman" w:cs="Times New Roman"/>
          <w:sz w:val="24"/>
          <w:szCs w:val="24"/>
        </w:rPr>
        <w:t>Frameworks</w:t>
      </w:r>
      <w:proofErr w:type="spellEnd"/>
      <w:r w:rsidR="003E614E" w:rsidRPr="00C02461">
        <w:rPr>
          <w:rFonts w:ascii="Times New Roman" w:hAnsi="Times New Roman" w:cs="Times New Roman"/>
          <w:sz w:val="24"/>
          <w:szCs w:val="24"/>
        </w:rPr>
        <w:t xml:space="preserve">), który stworzył, na razie jeszcze dość niedoskonałe podstawy do uznawalności wykształcenia uzyskiwanego poza uczelnią rodzimą, a co za tym idzie do wspierania mobilności studenckiej. </w:t>
      </w:r>
      <w:r w:rsidR="001B5FFE" w:rsidRPr="006055E0">
        <w:rPr>
          <w:rFonts w:ascii="Times New Roman" w:hAnsi="Times New Roman" w:cs="Times New Roman"/>
          <w:sz w:val="24"/>
          <w:szCs w:val="24"/>
        </w:rPr>
        <w:t xml:space="preserve">Ekonomiczna rola edukacji uniwersyteckiej uległa silnemu wzmocnieniu </w:t>
      </w:r>
      <w:r w:rsidR="00A44F65">
        <w:rPr>
          <w:rFonts w:ascii="Times New Roman" w:hAnsi="Times New Roman" w:cs="Times New Roman"/>
          <w:sz w:val="24"/>
          <w:szCs w:val="24"/>
        </w:rPr>
        <w:t xml:space="preserve">również </w:t>
      </w:r>
      <w:r w:rsidR="001B5FFE" w:rsidRPr="006055E0">
        <w:rPr>
          <w:rFonts w:ascii="Times New Roman" w:hAnsi="Times New Roman" w:cs="Times New Roman"/>
          <w:sz w:val="24"/>
          <w:szCs w:val="24"/>
        </w:rPr>
        <w:t xml:space="preserve">w </w:t>
      </w:r>
      <w:r w:rsidR="00FF3614">
        <w:rPr>
          <w:rFonts w:ascii="Times New Roman" w:hAnsi="Times New Roman" w:cs="Times New Roman"/>
          <w:sz w:val="24"/>
          <w:szCs w:val="24"/>
        </w:rPr>
        <w:t>s</w:t>
      </w:r>
      <w:r w:rsidR="001B5FFE" w:rsidRPr="006055E0">
        <w:rPr>
          <w:rFonts w:ascii="Times New Roman" w:hAnsi="Times New Roman" w:cs="Times New Roman"/>
          <w:sz w:val="24"/>
          <w:szCs w:val="24"/>
        </w:rPr>
        <w:t xml:space="preserve">trategii </w:t>
      </w:r>
      <w:r w:rsidR="00FF3614">
        <w:rPr>
          <w:rFonts w:ascii="Times New Roman" w:hAnsi="Times New Roman" w:cs="Times New Roman"/>
          <w:sz w:val="24"/>
          <w:szCs w:val="24"/>
        </w:rPr>
        <w:t>l</w:t>
      </w:r>
      <w:r w:rsidR="001B5FFE" w:rsidRPr="006055E0">
        <w:rPr>
          <w:rFonts w:ascii="Times New Roman" w:hAnsi="Times New Roman" w:cs="Times New Roman"/>
          <w:sz w:val="24"/>
          <w:szCs w:val="24"/>
        </w:rPr>
        <w:t>izbońskiej</w:t>
      </w:r>
      <w:r w:rsidR="009D7A90" w:rsidRPr="006055E0">
        <w:rPr>
          <w:rFonts w:ascii="Times New Roman" w:hAnsi="Times New Roman" w:cs="Times New Roman"/>
          <w:sz w:val="24"/>
          <w:szCs w:val="24"/>
        </w:rPr>
        <w:t xml:space="preserve"> (2000</w:t>
      </w:r>
      <w:r w:rsidR="004023B0">
        <w:rPr>
          <w:rFonts w:ascii="Times New Roman" w:hAnsi="Times New Roman" w:cs="Times New Roman"/>
          <w:sz w:val="24"/>
          <w:szCs w:val="24"/>
        </w:rPr>
        <w:t xml:space="preserve"> r.</w:t>
      </w:r>
      <w:r w:rsidR="009D7A90" w:rsidRPr="006055E0">
        <w:rPr>
          <w:rFonts w:ascii="Times New Roman" w:hAnsi="Times New Roman" w:cs="Times New Roman"/>
          <w:sz w:val="24"/>
          <w:szCs w:val="24"/>
        </w:rPr>
        <w:t>)</w:t>
      </w:r>
      <w:r w:rsidR="001B5FFE" w:rsidRPr="006055E0">
        <w:rPr>
          <w:rFonts w:ascii="Times New Roman" w:hAnsi="Times New Roman" w:cs="Times New Roman"/>
          <w:sz w:val="24"/>
          <w:szCs w:val="24"/>
        </w:rPr>
        <w:t xml:space="preserve">, domagającej się </w:t>
      </w:r>
      <w:r w:rsidR="009D7A90" w:rsidRPr="006055E0">
        <w:rPr>
          <w:rFonts w:ascii="Times New Roman" w:hAnsi="Times New Roman" w:cs="Times New Roman"/>
          <w:sz w:val="24"/>
          <w:szCs w:val="24"/>
        </w:rPr>
        <w:t xml:space="preserve">zapewnienia gospodarce europejskiej wysokiej konkurencyjności i zakotwiczenia w systemie </w:t>
      </w:r>
      <w:r w:rsidR="009D7A90" w:rsidRPr="006055E0">
        <w:rPr>
          <w:rFonts w:ascii="Times New Roman" w:hAnsi="Times New Roman" w:cs="Times New Roman"/>
          <w:sz w:val="24"/>
          <w:szCs w:val="24"/>
        </w:rPr>
        <w:lastRenderedPageBreak/>
        <w:t xml:space="preserve">rozwoju opartym na wiedzy. Szkolnictwo wyższe </w:t>
      </w:r>
      <w:r w:rsidRPr="006055E0">
        <w:rPr>
          <w:rFonts w:ascii="Times New Roman" w:hAnsi="Times New Roman" w:cs="Times New Roman"/>
          <w:sz w:val="24"/>
          <w:szCs w:val="24"/>
        </w:rPr>
        <w:t xml:space="preserve">może </w:t>
      </w:r>
      <w:r w:rsidR="009D7A90" w:rsidRPr="006055E0">
        <w:rPr>
          <w:rFonts w:ascii="Times New Roman" w:hAnsi="Times New Roman" w:cs="Times New Roman"/>
          <w:sz w:val="24"/>
          <w:szCs w:val="24"/>
        </w:rPr>
        <w:t>sprostać temu zadaniu tylko na drodze internacjonalizacji. Ogólnoeuropejskie programy wsparcia mobilności wzmacniane są również na poziomie regionalnym</w:t>
      </w:r>
      <w:r w:rsidR="004023B0">
        <w:rPr>
          <w:rFonts w:ascii="Times New Roman" w:hAnsi="Times New Roman" w:cs="Times New Roman"/>
          <w:sz w:val="24"/>
          <w:szCs w:val="24"/>
        </w:rPr>
        <w:t xml:space="preserve"> </w:t>
      </w:r>
      <w:r w:rsidR="004023B0" w:rsidRPr="004023B0">
        <w:rPr>
          <w:rFonts w:ascii="Times New Roman" w:hAnsi="Times New Roman" w:cs="Times New Roman"/>
          <w:sz w:val="24"/>
          <w:szCs w:val="24"/>
        </w:rPr>
        <w:t xml:space="preserve">– </w:t>
      </w:r>
      <w:r w:rsidR="009D7A90" w:rsidRPr="006055E0">
        <w:rPr>
          <w:rFonts w:ascii="Times New Roman" w:hAnsi="Times New Roman" w:cs="Times New Roman"/>
          <w:sz w:val="24"/>
          <w:szCs w:val="24"/>
        </w:rPr>
        <w:t xml:space="preserve">programami takimi jak NORDPLUS, </w:t>
      </w:r>
      <w:r w:rsidR="00A44F65">
        <w:rPr>
          <w:rFonts w:ascii="Times New Roman" w:hAnsi="Times New Roman" w:cs="Times New Roman"/>
          <w:sz w:val="24"/>
          <w:szCs w:val="24"/>
        </w:rPr>
        <w:t xml:space="preserve">który został </w:t>
      </w:r>
      <w:r w:rsidR="009D7A90" w:rsidRPr="006055E0">
        <w:rPr>
          <w:rFonts w:ascii="Times New Roman" w:hAnsi="Times New Roman" w:cs="Times New Roman"/>
          <w:sz w:val="24"/>
          <w:szCs w:val="24"/>
        </w:rPr>
        <w:t>powołany na użytek krajów nordyckich, a potem bałtyckich, czy też CEEPUS</w:t>
      </w:r>
      <w:r w:rsidR="00A44F65">
        <w:rPr>
          <w:rFonts w:ascii="Times New Roman" w:hAnsi="Times New Roman" w:cs="Times New Roman"/>
          <w:sz w:val="24"/>
          <w:szCs w:val="24"/>
        </w:rPr>
        <w:t>, który jest</w:t>
      </w:r>
      <w:r w:rsidR="009D7A90" w:rsidRPr="006055E0">
        <w:rPr>
          <w:rFonts w:ascii="Times New Roman" w:hAnsi="Times New Roman" w:cs="Times New Roman"/>
          <w:sz w:val="24"/>
          <w:szCs w:val="24"/>
        </w:rPr>
        <w:t xml:space="preserve"> przeznaczony dla Austrii i krajó</w:t>
      </w:r>
      <w:r w:rsidR="00304AF1" w:rsidRPr="006055E0">
        <w:rPr>
          <w:rFonts w:ascii="Times New Roman" w:hAnsi="Times New Roman" w:cs="Times New Roman"/>
          <w:sz w:val="24"/>
          <w:szCs w:val="24"/>
        </w:rPr>
        <w:t>w</w:t>
      </w:r>
      <w:r w:rsidR="005E39FF">
        <w:rPr>
          <w:rFonts w:ascii="Times New Roman" w:hAnsi="Times New Roman" w:cs="Times New Roman"/>
          <w:sz w:val="24"/>
          <w:szCs w:val="24"/>
        </w:rPr>
        <w:t xml:space="preserve"> południowo-wschodniej</w:t>
      </w:r>
      <w:r w:rsidR="00304AF1" w:rsidRPr="006055E0">
        <w:rPr>
          <w:rFonts w:ascii="Times New Roman" w:hAnsi="Times New Roman" w:cs="Times New Roman"/>
          <w:sz w:val="24"/>
          <w:szCs w:val="24"/>
        </w:rPr>
        <w:t xml:space="preserve"> Europy.</w:t>
      </w:r>
    </w:p>
    <w:p w:rsidR="00B7157A" w:rsidRPr="00787ACA" w:rsidRDefault="00D9236C" w:rsidP="00787ACA">
      <w:pPr>
        <w:spacing w:after="0" w:line="360" w:lineRule="auto"/>
        <w:ind w:firstLine="360"/>
        <w:jc w:val="both"/>
        <w:rPr>
          <w:rFonts w:ascii="Times New Roman" w:hAnsi="Times New Roman" w:cs="Times New Roman"/>
          <w:sz w:val="24"/>
          <w:szCs w:val="24"/>
        </w:rPr>
      </w:pPr>
      <w:r w:rsidRPr="006055E0">
        <w:rPr>
          <w:rFonts w:ascii="Times New Roman" w:hAnsi="Times New Roman" w:cs="Times New Roman"/>
          <w:sz w:val="24"/>
          <w:szCs w:val="24"/>
        </w:rPr>
        <w:t>W perspektywie światowej należy podkreślić znaczenie</w:t>
      </w:r>
      <w:r w:rsidR="00C23E78" w:rsidRPr="006055E0">
        <w:rPr>
          <w:rFonts w:ascii="Times New Roman" w:hAnsi="Times New Roman" w:cs="Times New Roman"/>
          <w:sz w:val="24"/>
          <w:szCs w:val="24"/>
        </w:rPr>
        <w:t xml:space="preserve"> </w:t>
      </w:r>
      <w:r w:rsidR="00254F4A">
        <w:rPr>
          <w:rFonts w:ascii="Times New Roman" w:hAnsi="Times New Roman" w:cs="Times New Roman"/>
          <w:sz w:val="24"/>
          <w:szCs w:val="24"/>
        </w:rPr>
        <w:t xml:space="preserve">organizacji </w:t>
      </w:r>
      <w:r w:rsidR="00C23E78" w:rsidRPr="006055E0">
        <w:rPr>
          <w:rFonts w:ascii="Times New Roman" w:hAnsi="Times New Roman" w:cs="Times New Roman"/>
          <w:sz w:val="24"/>
          <w:szCs w:val="24"/>
        </w:rPr>
        <w:t xml:space="preserve">UNESCO oraz </w:t>
      </w:r>
      <w:r w:rsidR="003862D6" w:rsidRPr="006055E0">
        <w:rPr>
          <w:rFonts w:ascii="Times New Roman" w:hAnsi="Times New Roman" w:cs="Times New Roman"/>
          <w:sz w:val="24"/>
          <w:szCs w:val="24"/>
        </w:rPr>
        <w:t xml:space="preserve">OECD, szczególnie w kwestii tworzenia ram </w:t>
      </w:r>
      <w:r w:rsidR="00273A87">
        <w:rPr>
          <w:rFonts w:ascii="Times New Roman" w:hAnsi="Times New Roman" w:cs="Times New Roman"/>
          <w:sz w:val="24"/>
          <w:szCs w:val="24"/>
        </w:rPr>
        <w:t xml:space="preserve">do prowadzenia działań na rzecz </w:t>
      </w:r>
      <w:r w:rsidR="003862D6" w:rsidRPr="006055E0">
        <w:rPr>
          <w:rFonts w:ascii="Times New Roman" w:hAnsi="Times New Roman" w:cs="Times New Roman"/>
          <w:sz w:val="24"/>
          <w:szCs w:val="24"/>
        </w:rPr>
        <w:t xml:space="preserve">umiędzynarodowienia </w:t>
      </w:r>
      <w:r w:rsidR="00273A87">
        <w:rPr>
          <w:rFonts w:ascii="Times New Roman" w:hAnsi="Times New Roman" w:cs="Times New Roman"/>
          <w:sz w:val="24"/>
          <w:szCs w:val="24"/>
        </w:rPr>
        <w:t xml:space="preserve">oraz jego analizy </w:t>
      </w:r>
      <w:r w:rsidR="003862D6" w:rsidRPr="006055E0">
        <w:rPr>
          <w:rFonts w:ascii="Times New Roman" w:hAnsi="Times New Roman" w:cs="Times New Roman"/>
          <w:sz w:val="24"/>
          <w:szCs w:val="24"/>
        </w:rPr>
        <w:t>w perspektywie globalnej</w:t>
      </w:r>
      <w:r w:rsidR="00273A87">
        <w:rPr>
          <w:rFonts w:ascii="Times New Roman" w:hAnsi="Times New Roman" w:cs="Times New Roman"/>
          <w:sz w:val="24"/>
          <w:szCs w:val="24"/>
        </w:rPr>
        <w:t>.</w:t>
      </w:r>
      <w:r w:rsidR="003862D6" w:rsidRPr="006055E0">
        <w:rPr>
          <w:rFonts w:ascii="Times New Roman" w:hAnsi="Times New Roman" w:cs="Times New Roman"/>
          <w:sz w:val="24"/>
          <w:szCs w:val="24"/>
        </w:rPr>
        <w:t xml:space="preserve"> </w:t>
      </w:r>
      <w:r w:rsidR="00273A87">
        <w:rPr>
          <w:rFonts w:ascii="Times New Roman" w:hAnsi="Times New Roman" w:cs="Times New Roman"/>
          <w:sz w:val="24"/>
          <w:szCs w:val="24"/>
        </w:rPr>
        <w:t>Warto również wymienić</w:t>
      </w:r>
      <w:r w:rsidR="003862D6" w:rsidRPr="006055E0">
        <w:rPr>
          <w:rFonts w:ascii="Times New Roman" w:hAnsi="Times New Roman" w:cs="Times New Roman"/>
          <w:sz w:val="24"/>
          <w:szCs w:val="24"/>
        </w:rPr>
        <w:t xml:space="preserve"> </w:t>
      </w:r>
      <w:proofErr w:type="spellStart"/>
      <w:r w:rsidRPr="006055E0">
        <w:rPr>
          <w:rFonts w:ascii="Times New Roman" w:hAnsi="Times New Roman" w:cs="Times New Roman"/>
          <w:sz w:val="24"/>
          <w:szCs w:val="24"/>
        </w:rPr>
        <w:t>As</w:t>
      </w:r>
      <w:r w:rsidR="000D4D35" w:rsidRPr="006055E0">
        <w:rPr>
          <w:rFonts w:ascii="Times New Roman" w:hAnsi="Times New Roman" w:cs="Times New Roman"/>
          <w:sz w:val="24"/>
          <w:szCs w:val="24"/>
        </w:rPr>
        <w:t>sociation</w:t>
      </w:r>
      <w:proofErr w:type="spellEnd"/>
      <w:r w:rsidR="000D4D35" w:rsidRPr="006055E0">
        <w:rPr>
          <w:rFonts w:ascii="Times New Roman" w:hAnsi="Times New Roman" w:cs="Times New Roman"/>
          <w:sz w:val="24"/>
          <w:szCs w:val="24"/>
        </w:rPr>
        <w:t xml:space="preserve"> of </w:t>
      </w:r>
      <w:proofErr w:type="spellStart"/>
      <w:r w:rsidR="000D4D35" w:rsidRPr="006055E0">
        <w:rPr>
          <w:rFonts w:ascii="Times New Roman" w:hAnsi="Times New Roman" w:cs="Times New Roman"/>
          <w:sz w:val="24"/>
          <w:szCs w:val="24"/>
        </w:rPr>
        <w:t>Southeast</w:t>
      </w:r>
      <w:proofErr w:type="spellEnd"/>
      <w:r w:rsidR="000D4D35" w:rsidRPr="006055E0">
        <w:rPr>
          <w:rFonts w:ascii="Times New Roman" w:hAnsi="Times New Roman" w:cs="Times New Roman"/>
          <w:sz w:val="24"/>
          <w:szCs w:val="24"/>
        </w:rPr>
        <w:t xml:space="preserve"> </w:t>
      </w:r>
      <w:proofErr w:type="spellStart"/>
      <w:r w:rsidR="000D4D35" w:rsidRPr="006055E0">
        <w:rPr>
          <w:rFonts w:ascii="Times New Roman" w:hAnsi="Times New Roman" w:cs="Times New Roman"/>
          <w:sz w:val="24"/>
          <w:szCs w:val="24"/>
        </w:rPr>
        <w:t>Asian</w:t>
      </w:r>
      <w:proofErr w:type="spellEnd"/>
      <w:r w:rsidR="000D4D35" w:rsidRPr="006055E0">
        <w:rPr>
          <w:rFonts w:ascii="Times New Roman" w:hAnsi="Times New Roman" w:cs="Times New Roman"/>
          <w:sz w:val="24"/>
          <w:szCs w:val="24"/>
        </w:rPr>
        <w:t xml:space="preserve"> N</w:t>
      </w:r>
      <w:r w:rsidRPr="006055E0">
        <w:rPr>
          <w:rFonts w:ascii="Times New Roman" w:hAnsi="Times New Roman" w:cs="Times New Roman"/>
          <w:sz w:val="24"/>
          <w:szCs w:val="24"/>
        </w:rPr>
        <w:t>ations (ASEAN)</w:t>
      </w:r>
      <w:r w:rsidR="003862D6" w:rsidRPr="006055E0">
        <w:rPr>
          <w:rFonts w:ascii="Times New Roman" w:hAnsi="Times New Roman" w:cs="Times New Roman"/>
          <w:sz w:val="24"/>
          <w:szCs w:val="24"/>
        </w:rPr>
        <w:t xml:space="preserve">, </w:t>
      </w:r>
      <w:r w:rsidR="003862D6" w:rsidRPr="00A86181">
        <w:rPr>
          <w:rFonts w:ascii="Times New Roman" w:hAnsi="Times New Roman" w:cs="Times New Roman"/>
          <w:sz w:val="24"/>
          <w:szCs w:val="24"/>
        </w:rPr>
        <w:t xml:space="preserve">ze </w:t>
      </w:r>
      <w:r w:rsidR="005610CB" w:rsidRPr="00A86181">
        <w:rPr>
          <w:rFonts w:ascii="Times New Roman" w:hAnsi="Times New Roman" w:cs="Times New Roman"/>
          <w:sz w:val="24"/>
          <w:szCs w:val="24"/>
        </w:rPr>
        <w:t>szczegól</w:t>
      </w:r>
      <w:r w:rsidR="003862D6" w:rsidRPr="00A86181">
        <w:rPr>
          <w:rFonts w:ascii="Times New Roman" w:hAnsi="Times New Roman" w:cs="Times New Roman"/>
          <w:sz w:val="24"/>
          <w:szCs w:val="24"/>
        </w:rPr>
        <w:t>ną</w:t>
      </w:r>
      <w:r w:rsidR="003862D6" w:rsidRPr="006055E0">
        <w:rPr>
          <w:rFonts w:ascii="Times New Roman" w:hAnsi="Times New Roman" w:cs="Times New Roman"/>
          <w:sz w:val="24"/>
          <w:szCs w:val="24"/>
        </w:rPr>
        <w:t xml:space="preserve"> rolą </w:t>
      </w:r>
      <w:r w:rsidRPr="006055E0">
        <w:rPr>
          <w:rFonts w:ascii="Times New Roman" w:hAnsi="Times New Roman" w:cs="Times New Roman"/>
          <w:sz w:val="24"/>
          <w:szCs w:val="24"/>
        </w:rPr>
        <w:t xml:space="preserve">University Mobility </w:t>
      </w:r>
      <w:r w:rsidR="003862D6" w:rsidRPr="006055E0">
        <w:rPr>
          <w:rFonts w:ascii="Times New Roman" w:hAnsi="Times New Roman" w:cs="Times New Roman"/>
          <w:sz w:val="24"/>
          <w:szCs w:val="24"/>
        </w:rPr>
        <w:t xml:space="preserve">in Asia and the </w:t>
      </w:r>
      <w:r w:rsidRPr="006055E0">
        <w:rPr>
          <w:rFonts w:ascii="Times New Roman" w:hAnsi="Times New Roman" w:cs="Times New Roman"/>
          <w:sz w:val="24"/>
          <w:szCs w:val="24"/>
        </w:rPr>
        <w:t>Pacific (UMAP)</w:t>
      </w:r>
      <w:r w:rsidR="003862D6" w:rsidRPr="006055E0">
        <w:rPr>
          <w:rFonts w:ascii="Times New Roman" w:hAnsi="Times New Roman" w:cs="Times New Roman"/>
          <w:sz w:val="24"/>
          <w:szCs w:val="24"/>
        </w:rPr>
        <w:t xml:space="preserve"> jako organizacji skoncentrowanej na mobilnośc</w:t>
      </w:r>
      <w:r w:rsidR="009C4975" w:rsidRPr="006055E0">
        <w:rPr>
          <w:rFonts w:ascii="Times New Roman" w:hAnsi="Times New Roman" w:cs="Times New Roman"/>
          <w:sz w:val="24"/>
          <w:szCs w:val="24"/>
        </w:rPr>
        <w:t>i w szkolnictw</w:t>
      </w:r>
      <w:r w:rsidR="00A44F65">
        <w:rPr>
          <w:rFonts w:ascii="Times New Roman" w:hAnsi="Times New Roman" w:cs="Times New Roman"/>
          <w:sz w:val="24"/>
          <w:szCs w:val="24"/>
        </w:rPr>
        <w:t>ie</w:t>
      </w:r>
      <w:r w:rsidR="009C4975" w:rsidRPr="006055E0">
        <w:rPr>
          <w:rFonts w:ascii="Times New Roman" w:hAnsi="Times New Roman" w:cs="Times New Roman"/>
          <w:sz w:val="24"/>
          <w:szCs w:val="24"/>
        </w:rPr>
        <w:t xml:space="preserve"> wyższ</w:t>
      </w:r>
      <w:r w:rsidR="00A44F65">
        <w:rPr>
          <w:rFonts w:ascii="Times New Roman" w:hAnsi="Times New Roman" w:cs="Times New Roman"/>
          <w:sz w:val="24"/>
          <w:szCs w:val="24"/>
        </w:rPr>
        <w:t>ym</w:t>
      </w:r>
      <w:r w:rsidR="009C4975" w:rsidRPr="006055E0">
        <w:rPr>
          <w:rFonts w:ascii="Times New Roman" w:hAnsi="Times New Roman" w:cs="Times New Roman"/>
          <w:sz w:val="24"/>
          <w:szCs w:val="24"/>
        </w:rPr>
        <w:t xml:space="preserve">. </w:t>
      </w:r>
      <w:r w:rsidR="00FF3614">
        <w:rPr>
          <w:rFonts w:ascii="Times New Roman" w:hAnsi="Times New Roman" w:cs="Times New Roman"/>
          <w:sz w:val="24"/>
          <w:szCs w:val="24"/>
        </w:rPr>
        <w:t xml:space="preserve">Za </w:t>
      </w:r>
      <w:r w:rsidR="009D0736">
        <w:rPr>
          <w:rFonts w:ascii="Times New Roman" w:hAnsi="Times New Roman" w:cs="Times New Roman"/>
          <w:sz w:val="24"/>
          <w:szCs w:val="24"/>
        </w:rPr>
        <w:t>bardzo</w:t>
      </w:r>
      <w:r w:rsidR="00B2063F" w:rsidRPr="006055E0">
        <w:rPr>
          <w:rFonts w:ascii="Times New Roman" w:hAnsi="Times New Roman" w:cs="Times New Roman"/>
          <w:sz w:val="24"/>
          <w:szCs w:val="24"/>
        </w:rPr>
        <w:t xml:space="preserve"> ważny</w:t>
      </w:r>
      <w:r w:rsidR="00C23E78" w:rsidRPr="006055E0">
        <w:rPr>
          <w:rFonts w:ascii="Times New Roman" w:hAnsi="Times New Roman" w:cs="Times New Roman"/>
          <w:sz w:val="24"/>
          <w:szCs w:val="24"/>
        </w:rPr>
        <w:t xml:space="preserve"> dla kontaktów </w:t>
      </w:r>
      <w:r w:rsidR="00A44F65">
        <w:rPr>
          <w:rFonts w:ascii="Times New Roman" w:hAnsi="Times New Roman" w:cs="Times New Roman"/>
          <w:sz w:val="24"/>
          <w:szCs w:val="24"/>
        </w:rPr>
        <w:t xml:space="preserve">pomiędzy </w:t>
      </w:r>
      <w:r w:rsidR="00C23E78" w:rsidRPr="006055E0">
        <w:rPr>
          <w:rFonts w:ascii="Times New Roman" w:hAnsi="Times New Roman" w:cs="Times New Roman"/>
          <w:sz w:val="24"/>
          <w:szCs w:val="24"/>
        </w:rPr>
        <w:t>USA</w:t>
      </w:r>
      <w:r w:rsidR="00A44F65">
        <w:rPr>
          <w:rFonts w:ascii="Times New Roman" w:hAnsi="Times New Roman" w:cs="Times New Roman"/>
          <w:sz w:val="24"/>
          <w:szCs w:val="24"/>
        </w:rPr>
        <w:t xml:space="preserve"> a pozostałymi krajami</w:t>
      </w:r>
      <w:r w:rsidR="00FF3614">
        <w:rPr>
          <w:rFonts w:ascii="Times New Roman" w:hAnsi="Times New Roman" w:cs="Times New Roman"/>
          <w:sz w:val="24"/>
          <w:szCs w:val="24"/>
        </w:rPr>
        <w:t xml:space="preserve"> należy uznać</w:t>
      </w:r>
      <w:r w:rsidR="00B2063F" w:rsidRPr="006055E0">
        <w:rPr>
          <w:rFonts w:ascii="Times New Roman" w:hAnsi="Times New Roman" w:cs="Times New Roman"/>
          <w:sz w:val="24"/>
          <w:szCs w:val="24"/>
        </w:rPr>
        <w:t xml:space="preserve"> program Fulbrighta, </w:t>
      </w:r>
      <w:r w:rsidR="009D0736">
        <w:rPr>
          <w:rFonts w:ascii="Times New Roman" w:hAnsi="Times New Roman" w:cs="Times New Roman"/>
          <w:sz w:val="24"/>
          <w:szCs w:val="24"/>
        </w:rPr>
        <w:t xml:space="preserve">funkcjonujący od 1946 roku, </w:t>
      </w:r>
      <w:r w:rsidR="00B2063F" w:rsidRPr="006055E0">
        <w:rPr>
          <w:rFonts w:ascii="Times New Roman" w:hAnsi="Times New Roman" w:cs="Times New Roman"/>
          <w:sz w:val="24"/>
          <w:szCs w:val="24"/>
        </w:rPr>
        <w:t xml:space="preserve">który był jednym z pierwszych projektów udzielających wsparcia w </w:t>
      </w:r>
      <w:r w:rsidR="009D0736">
        <w:rPr>
          <w:rFonts w:ascii="Times New Roman" w:hAnsi="Times New Roman" w:cs="Times New Roman"/>
          <w:sz w:val="24"/>
          <w:szCs w:val="24"/>
        </w:rPr>
        <w:t xml:space="preserve">obszarze </w:t>
      </w:r>
      <w:r w:rsidR="00B2063F" w:rsidRPr="006055E0">
        <w:rPr>
          <w:rFonts w:ascii="Times New Roman" w:hAnsi="Times New Roman" w:cs="Times New Roman"/>
          <w:sz w:val="24"/>
          <w:szCs w:val="24"/>
        </w:rPr>
        <w:t xml:space="preserve">mobilności naukowców. </w:t>
      </w:r>
      <w:r w:rsidR="009C4975" w:rsidRPr="006055E0">
        <w:rPr>
          <w:rFonts w:ascii="Times New Roman" w:hAnsi="Times New Roman" w:cs="Times New Roman"/>
          <w:sz w:val="24"/>
          <w:szCs w:val="24"/>
        </w:rPr>
        <w:t>Nie bez znaczenia dla</w:t>
      </w:r>
      <w:r w:rsidR="00B2063F" w:rsidRPr="006055E0">
        <w:rPr>
          <w:rFonts w:ascii="Times New Roman" w:hAnsi="Times New Roman" w:cs="Times New Roman"/>
          <w:sz w:val="24"/>
          <w:szCs w:val="24"/>
        </w:rPr>
        <w:t xml:space="preserve"> dzisiejszej</w:t>
      </w:r>
      <w:r w:rsidR="009C4975" w:rsidRPr="006055E0">
        <w:rPr>
          <w:rFonts w:ascii="Times New Roman" w:hAnsi="Times New Roman" w:cs="Times New Roman"/>
          <w:sz w:val="24"/>
          <w:szCs w:val="24"/>
        </w:rPr>
        <w:t xml:space="preserve"> mobilności globalnej są też inicjatywy europejskie, takie jak program ICI </w:t>
      </w:r>
      <w:r w:rsidR="00F77D58">
        <w:rPr>
          <w:rFonts w:ascii="Times New Roman" w:hAnsi="Times New Roman" w:cs="Times New Roman"/>
          <w:sz w:val="24"/>
          <w:szCs w:val="24"/>
        </w:rPr>
        <w:t xml:space="preserve">łączący </w:t>
      </w:r>
      <w:r w:rsidR="009C4975" w:rsidRPr="006055E0">
        <w:rPr>
          <w:rFonts w:ascii="Times New Roman" w:hAnsi="Times New Roman" w:cs="Times New Roman"/>
          <w:sz w:val="24"/>
          <w:szCs w:val="24"/>
        </w:rPr>
        <w:t xml:space="preserve">UE </w:t>
      </w:r>
      <w:r w:rsidR="00F77D58">
        <w:rPr>
          <w:rFonts w:ascii="Times New Roman" w:hAnsi="Times New Roman" w:cs="Times New Roman"/>
          <w:sz w:val="24"/>
          <w:szCs w:val="24"/>
        </w:rPr>
        <w:t xml:space="preserve">oraz </w:t>
      </w:r>
      <w:r w:rsidR="009C4975" w:rsidRPr="006055E0">
        <w:rPr>
          <w:rFonts w:ascii="Times New Roman" w:hAnsi="Times New Roman" w:cs="Times New Roman"/>
          <w:sz w:val="24"/>
          <w:szCs w:val="24"/>
        </w:rPr>
        <w:t>Australi</w:t>
      </w:r>
      <w:r w:rsidR="00F77D58">
        <w:rPr>
          <w:rFonts w:ascii="Times New Roman" w:hAnsi="Times New Roman" w:cs="Times New Roman"/>
          <w:sz w:val="24"/>
          <w:szCs w:val="24"/>
        </w:rPr>
        <w:t>ę</w:t>
      </w:r>
      <w:r w:rsidR="009C4975" w:rsidRPr="006055E0">
        <w:rPr>
          <w:rFonts w:ascii="Times New Roman" w:hAnsi="Times New Roman" w:cs="Times New Roman"/>
          <w:sz w:val="24"/>
          <w:szCs w:val="24"/>
        </w:rPr>
        <w:t>, Kore</w:t>
      </w:r>
      <w:r w:rsidR="00F77D58">
        <w:rPr>
          <w:rFonts w:ascii="Times New Roman" w:hAnsi="Times New Roman" w:cs="Times New Roman"/>
          <w:sz w:val="24"/>
          <w:szCs w:val="24"/>
        </w:rPr>
        <w:t>ę</w:t>
      </w:r>
      <w:r w:rsidR="009C4975" w:rsidRPr="006055E0">
        <w:rPr>
          <w:rFonts w:ascii="Times New Roman" w:hAnsi="Times New Roman" w:cs="Times New Roman"/>
          <w:sz w:val="24"/>
          <w:szCs w:val="24"/>
        </w:rPr>
        <w:t xml:space="preserve"> Południow</w:t>
      </w:r>
      <w:r w:rsidR="00F77D58">
        <w:rPr>
          <w:rFonts w:ascii="Times New Roman" w:hAnsi="Times New Roman" w:cs="Times New Roman"/>
          <w:sz w:val="24"/>
          <w:szCs w:val="24"/>
        </w:rPr>
        <w:t>ą</w:t>
      </w:r>
      <w:r w:rsidR="009C4975" w:rsidRPr="006055E0">
        <w:rPr>
          <w:rFonts w:ascii="Times New Roman" w:hAnsi="Times New Roman" w:cs="Times New Roman"/>
          <w:sz w:val="24"/>
          <w:szCs w:val="24"/>
        </w:rPr>
        <w:t xml:space="preserve"> </w:t>
      </w:r>
      <w:r w:rsidR="00F77D58">
        <w:rPr>
          <w:rFonts w:ascii="Times New Roman" w:hAnsi="Times New Roman" w:cs="Times New Roman"/>
          <w:sz w:val="24"/>
          <w:szCs w:val="24"/>
        </w:rPr>
        <w:t>i</w:t>
      </w:r>
      <w:r w:rsidR="009C4975" w:rsidRPr="006055E0">
        <w:rPr>
          <w:rFonts w:ascii="Times New Roman" w:hAnsi="Times New Roman" w:cs="Times New Roman"/>
          <w:sz w:val="24"/>
          <w:szCs w:val="24"/>
        </w:rPr>
        <w:t xml:space="preserve"> Japoni</w:t>
      </w:r>
      <w:r w:rsidR="00F77D58">
        <w:rPr>
          <w:rFonts w:ascii="Times New Roman" w:hAnsi="Times New Roman" w:cs="Times New Roman"/>
          <w:sz w:val="24"/>
          <w:szCs w:val="24"/>
        </w:rPr>
        <w:t>ę</w:t>
      </w:r>
      <w:r w:rsidR="009C4975" w:rsidRPr="006055E0">
        <w:rPr>
          <w:rFonts w:ascii="Times New Roman" w:hAnsi="Times New Roman" w:cs="Times New Roman"/>
          <w:sz w:val="24"/>
          <w:szCs w:val="24"/>
        </w:rPr>
        <w:t>, czy ALFA</w:t>
      </w:r>
      <w:r w:rsidR="00F77D58">
        <w:rPr>
          <w:rFonts w:ascii="Times New Roman" w:hAnsi="Times New Roman" w:cs="Times New Roman"/>
          <w:sz w:val="24"/>
          <w:szCs w:val="24"/>
        </w:rPr>
        <w:t>,</w:t>
      </w:r>
      <w:r w:rsidR="009C4975" w:rsidRPr="006055E0">
        <w:rPr>
          <w:rFonts w:ascii="Times New Roman" w:hAnsi="Times New Roman" w:cs="Times New Roman"/>
          <w:sz w:val="24"/>
          <w:szCs w:val="24"/>
        </w:rPr>
        <w:t xml:space="preserve"> służący wzmocnieniu współpracy z Ameryką Łacińską.</w:t>
      </w:r>
    </w:p>
    <w:p w:rsidR="00B42FE8" w:rsidRPr="00787ACA" w:rsidRDefault="00787ACA" w:rsidP="00787ACA">
      <w:pPr>
        <w:pStyle w:val="Nagwek1"/>
        <w:rPr>
          <w:szCs w:val="29"/>
        </w:rPr>
      </w:pPr>
      <w:r w:rsidRPr="00787ACA">
        <w:rPr>
          <w:szCs w:val="29"/>
        </w:rPr>
        <w:t>Formy</w:t>
      </w:r>
      <w:r w:rsidR="0037648B" w:rsidRPr="00787ACA">
        <w:rPr>
          <w:szCs w:val="29"/>
        </w:rPr>
        <w:t xml:space="preserve"> internacjonalizacji szkolnictwa wyższego</w:t>
      </w:r>
    </w:p>
    <w:p w:rsidR="0085116E" w:rsidRPr="00787ACA" w:rsidRDefault="0085116E" w:rsidP="002E19D8">
      <w:pPr>
        <w:pStyle w:val="tekstpods"/>
        <w:spacing w:line="360" w:lineRule="auto"/>
      </w:pPr>
      <w:r w:rsidRPr="006055E0">
        <w:rPr>
          <w:szCs w:val="24"/>
        </w:rPr>
        <w:t xml:space="preserve">Umiędzynarodowienie szkolnictwa wyższego, podobnie jak </w:t>
      </w:r>
      <w:r w:rsidR="003A4501">
        <w:rPr>
          <w:szCs w:val="24"/>
        </w:rPr>
        <w:t>internacjonalizacja</w:t>
      </w:r>
      <w:r w:rsidR="003A4501" w:rsidRPr="006055E0">
        <w:rPr>
          <w:szCs w:val="24"/>
        </w:rPr>
        <w:t xml:space="preserve"> </w:t>
      </w:r>
      <w:r w:rsidRPr="006055E0">
        <w:rPr>
          <w:szCs w:val="24"/>
        </w:rPr>
        <w:t>przedsiębiorstw</w:t>
      </w:r>
      <w:r w:rsidR="00F77D58">
        <w:rPr>
          <w:szCs w:val="24"/>
        </w:rPr>
        <w:t>,</w:t>
      </w:r>
      <w:r w:rsidRPr="006055E0">
        <w:rPr>
          <w:szCs w:val="24"/>
        </w:rPr>
        <w:t xml:space="preserve"> może przybierać różnorakie formy, przy czym </w:t>
      </w:r>
      <w:r w:rsidR="001545D4">
        <w:rPr>
          <w:szCs w:val="24"/>
        </w:rPr>
        <w:t xml:space="preserve">– </w:t>
      </w:r>
      <w:r w:rsidRPr="006055E0">
        <w:rPr>
          <w:szCs w:val="24"/>
        </w:rPr>
        <w:t xml:space="preserve">tak jak w biznesie </w:t>
      </w:r>
      <w:r w:rsidR="001545D4">
        <w:rPr>
          <w:szCs w:val="24"/>
        </w:rPr>
        <w:t xml:space="preserve">– </w:t>
      </w:r>
      <w:r w:rsidRPr="006055E0">
        <w:rPr>
          <w:szCs w:val="24"/>
        </w:rPr>
        <w:t>najczęści</w:t>
      </w:r>
      <w:r w:rsidR="001429F0" w:rsidRPr="006055E0">
        <w:rPr>
          <w:szCs w:val="24"/>
        </w:rPr>
        <w:t xml:space="preserve">ej ma ono charakter etapowy, </w:t>
      </w:r>
      <w:r w:rsidR="003A4501">
        <w:rPr>
          <w:szCs w:val="24"/>
        </w:rPr>
        <w:t>czyli</w:t>
      </w:r>
      <w:r w:rsidR="001429F0" w:rsidRPr="006055E0">
        <w:rPr>
          <w:szCs w:val="24"/>
        </w:rPr>
        <w:t xml:space="preserve"> przebiega od zaangażowania najbezpieczniejszego, wymagającego najmniejszego </w:t>
      </w:r>
      <w:r w:rsidR="009E5CE0" w:rsidRPr="006055E0">
        <w:rPr>
          <w:szCs w:val="24"/>
        </w:rPr>
        <w:t xml:space="preserve">wykorzystania </w:t>
      </w:r>
      <w:r w:rsidR="001429F0" w:rsidRPr="006055E0">
        <w:rPr>
          <w:szCs w:val="24"/>
        </w:rPr>
        <w:t xml:space="preserve">kapitału ludzkiego oraz </w:t>
      </w:r>
      <w:r w:rsidR="009E5CE0" w:rsidRPr="006055E0">
        <w:rPr>
          <w:szCs w:val="24"/>
        </w:rPr>
        <w:t xml:space="preserve">finansowego, po </w:t>
      </w:r>
      <w:r w:rsidR="00273A87">
        <w:rPr>
          <w:szCs w:val="24"/>
        </w:rPr>
        <w:t>bezpośrednie</w:t>
      </w:r>
      <w:r w:rsidR="009E5CE0" w:rsidRPr="006055E0">
        <w:rPr>
          <w:szCs w:val="24"/>
        </w:rPr>
        <w:t xml:space="preserve"> inwestycj</w:t>
      </w:r>
      <w:r w:rsidR="00273A87">
        <w:rPr>
          <w:szCs w:val="24"/>
        </w:rPr>
        <w:t>e</w:t>
      </w:r>
      <w:r w:rsidR="009E5CE0" w:rsidRPr="006055E0">
        <w:rPr>
          <w:szCs w:val="24"/>
        </w:rPr>
        <w:t xml:space="preserve"> zagraniczn</w:t>
      </w:r>
      <w:r w:rsidR="00273A87">
        <w:rPr>
          <w:szCs w:val="24"/>
        </w:rPr>
        <w:t>e</w:t>
      </w:r>
      <w:r w:rsidR="00594BAF" w:rsidRPr="006055E0">
        <w:rPr>
          <w:szCs w:val="24"/>
        </w:rPr>
        <w:t xml:space="preserve"> (</w:t>
      </w:r>
      <w:r w:rsidR="00F77D58">
        <w:rPr>
          <w:szCs w:val="24"/>
        </w:rPr>
        <w:t>r</w:t>
      </w:r>
      <w:r w:rsidR="00594BAF" w:rsidRPr="006055E0">
        <w:rPr>
          <w:szCs w:val="24"/>
        </w:rPr>
        <w:t>ys. 1)</w:t>
      </w:r>
      <w:r w:rsidR="009E5CE0" w:rsidRPr="006055E0">
        <w:rPr>
          <w:szCs w:val="24"/>
        </w:rPr>
        <w:t xml:space="preserve">. W przypadku przestrzeni edukacyjnej te najbezpieczniejsze </w:t>
      </w:r>
      <w:r w:rsidR="00F77D58">
        <w:rPr>
          <w:szCs w:val="24"/>
        </w:rPr>
        <w:t>obszary zaangażowania</w:t>
      </w:r>
      <w:r w:rsidR="009E5CE0" w:rsidRPr="006055E0">
        <w:rPr>
          <w:szCs w:val="24"/>
        </w:rPr>
        <w:t xml:space="preserve">, </w:t>
      </w:r>
      <w:r w:rsidR="00D720C2">
        <w:rPr>
          <w:szCs w:val="24"/>
        </w:rPr>
        <w:t xml:space="preserve">m.in. </w:t>
      </w:r>
      <w:r w:rsidR="009E5CE0" w:rsidRPr="006055E0">
        <w:rPr>
          <w:szCs w:val="24"/>
        </w:rPr>
        <w:t>dzięki wyżej omówionemu wielopłaszczyznowemu wsparciu, przy założeniu istnienia sieci współpracy, to mobilność</w:t>
      </w:r>
      <w:r w:rsidR="00F77D58">
        <w:rPr>
          <w:szCs w:val="24"/>
        </w:rPr>
        <w:t xml:space="preserve"> (</w:t>
      </w:r>
      <w:r w:rsidR="009E5CE0" w:rsidRPr="006055E0">
        <w:rPr>
          <w:szCs w:val="24"/>
        </w:rPr>
        <w:t>wymiana</w:t>
      </w:r>
      <w:r w:rsidR="00F77D58">
        <w:rPr>
          <w:szCs w:val="24"/>
        </w:rPr>
        <w:t>)</w:t>
      </w:r>
      <w:r w:rsidR="009E5CE0" w:rsidRPr="006055E0">
        <w:rPr>
          <w:szCs w:val="24"/>
        </w:rPr>
        <w:t xml:space="preserve"> studentów i kadry dydaktycznej </w:t>
      </w:r>
      <w:r w:rsidR="00F77D58">
        <w:rPr>
          <w:szCs w:val="24"/>
        </w:rPr>
        <w:t>oraz</w:t>
      </w:r>
      <w:r w:rsidR="009E5CE0" w:rsidRPr="006055E0">
        <w:rPr>
          <w:szCs w:val="24"/>
        </w:rPr>
        <w:t xml:space="preserve"> naukowców. Formą </w:t>
      </w:r>
      <w:r w:rsidR="00F77D58">
        <w:rPr>
          <w:szCs w:val="24"/>
        </w:rPr>
        <w:t xml:space="preserve">działania </w:t>
      </w:r>
      <w:r w:rsidR="009E5CE0" w:rsidRPr="006055E0">
        <w:rPr>
          <w:szCs w:val="24"/>
        </w:rPr>
        <w:t>wymagającą sporych nakładów</w:t>
      </w:r>
      <w:r w:rsidR="00D720C2">
        <w:rPr>
          <w:szCs w:val="24"/>
        </w:rPr>
        <w:t xml:space="preserve"> jest</w:t>
      </w:r>
      <w:r w:rsidR="009E5CE0" w:rsidRPr="006055E0">
        <w:rPr>
          <w:szCs w:val="24"/>
        </w:rPr>
        <w:t xml:space="preserve"> natomiast utworzenie zagranicznego kampusu.</w:t>
      </w:r>
      <w:r w:rsidR="00AA24E2">
        <w:rPr>
          <w:szCs w:val="24"/>
        </w:rPr>
        <w:t xml:space="preserve"> </w:t>
      </w:r>
      <w:r w:rsidR="00273929" w:rsidRPr="006055E0">
        <w:rPr>
          <w:szCs w:val="24"/>
        </w:rPr>
        <w:t xml:space="preserve">Wszystkie przedstawione </w:t>
      </w:r>
      <w:r w:rsidR="00940608">
        <w:rPr>
          <w:szCs w:val="24"/>
        </w:rPr>
        <w:t>formy internacjonalizacji</w:t>
      </w:r>
      <w:r w:rsidR="00273929" w:rsidRPr="006055E0">
        <w:rPr>
          <w:szCs w:val="24"/>
        </w:rPr>
        <w:t xml:space="preserve"> wymagają tworzenia programów w języku angielskim</w:t>
      </w:r>
      <w:r w:rsidR="00235B3A" w:rsidRPr="006055E0">
        <w:rPr>
          <w:szCs w:val="24"/>
        </w:rPr>
        <w:t xml:space="preserve">, chociaż niektóre kraje, zwłaszcza </w:t>
      </w:r>
      <w:r w:rsidR="00767421" w:rsidRPr="006055E0">
        <w:rPr>
          <w:szCs w:val="24"/>
        </w:rPr>
        <w:t xml:space="preserve">niemieckojęzyczne, </w:t>
      </w:r>
      <w:r w:rsidR="00235B3A" w:rsidRPr="006055E0">
        <w:rPr>
          <w:szCs w:val="24"/>
        </w:rPr>
        <w:t>francuskojęzyczne, rosyjskojęzyczne czy hiszpańskojęzyczne</w:t>
      </w:r>
      <w:r w:rsidR="00B163F1">
        <w:rPr>
          <w:szCs w:val="24"/>
        </w:rPr>
        <w:t xml:space="preserve"> przywiązują mniejszą wagę do tego wymogu</w:t>
      </w:r>
      <w:r w:rsidR="00235B3A" w:rsidRPr="006055E0">
        <w:rPr>
          <w:szCs w:val="24"/>
        </w:rPr>
        <w:t xml:space="preserve"> ze względu na popularność </w:t>
      </w:r>
      <w:r w:rsidR="00C11F77">
        <w:rPr>
          <w:szCs w:val="24"/>
        </w:rPr>
        <w:t>używanych w nich</w:t>
      </w:r>
      <w:r w:rsidR="00235B3A" w:rsidRPr="006055E0">
        <w:rPr>
          <w:szCs w:val="24"/>
        </w:rPr>
        <w:t xml:space="preserve"> języków na świecie.</w:t>
      </w:r>
    </w:p>
    <w:p w:rsidR="001545D4" w:rsidRDefault="001545D4" w:rsidP="00B7157A">
      <w:pPr>
        <w:spacing w:after="0" w:line="360" w:lineRule="auto"/>
        <w:jc w:val="both"/>
        <w:rPr>
          <w:rFonts w:ascii="Times New Roman" w:hAnsi="Times New Roman" w:cs="Times New Roman"/>
          <w:b/>
          <w:sz w:val="24"/>
          <w:szCs w:val="24"/>
        </w:rPr>
      </w:pPr>
    </w:p>
    <w:p w:rsidR="00787ACA" w:rsidRDefault="0002500F" w:rsidP="00B7157A">
      <w:pPr>
        <w:spacing w:after="0" w:line="360" w:lineRule="auto"/>
        <w:jc w:val="both"/>
        <w:rPr>
          <w:rFonts w:ascii="Times New Roman" w:hAnsi="Times New Roman" w:cs="Times New Roman"/>
        </w:rPr>
      </w:pPr>
      <w:r>
        <w:rPr>
          <w:rFonts w:ascii="Times New Roman" w:hAnsi="Times New Roman" w:cs="Times New Roman"/>
          <w:noProof/>
          <w:sz w:val="24"/>
          <w:szCs w:val="24"/>
          <w:lang w:eastAsia="pl-PL"/>
        </w:rPr>
        <w:lastRenderedPageBreak/>
        <w:drawing>
          <wp:inline distT="0" distB="0" distL="0" distR="0">
            <wp:extent cx="5555412" cy="1613140"/>
            <wp:effectExtent l="0" t="0" r="7620" b="63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787ACA" w:rsidRDefault="00787ACA" w:rsidP="00787ACA">
      <w:pPr>
        <w:pStyle w:val="tekstpods"/>
        <w:spacing w:line="240" w:lineRule="auto"/>
        <w:ind w:firstLine="0"/>
      </w:pPr>
      <w:r>
        <w:t xml:space="preserve">Rys. 1. </w:t>
      </w:r>
      <w:r w:rsidRPr="00787ACA">
        <w:t>Fazy internacjonalizacji uczelni wyższej</w:t>
      </w:r>
    </w:p>
    <w:p w:rsidR="00787ACA" w:rsidRPr="00787ACA" w:rsidRDefault="00787ACA" w:rsidP="00787ACA">
      <w:pPr>
        <w:pStyle w:val="tekstpods"/>
        <w:spacing w:line="240" w:lineRule="auto"/>
        <w:ind w:firstLine="0"/>
        <w:rPr>
          <w:lang w:val="en-US"/>
        </w:rPr>
      </w:pPr>
      <w:r>
        <w:t xml:space="preserve">Fig. 1. </w:t>
      </w:r>
      <w:r w:rsidRPr="00787ACA">
        <w:rPr>
          <w:lang w:val="en-US"/>
        </w:rPr>
        <w:t>Internationalization phases of the HE institution</w:t>
      </w:r>
    </w:p>
    <w:p w:rsidR="00787ACA" w:rsidRDefault="00787ACA" w:rsidP="00787ACA">
      <w:pPr>
        <w:pStyle w:val="tekstpods"/>
        <w:spacing w:line="240" w:lineRule="auto"/>
        <w:ind w:firstLine="0"/>
      </w:pPr>
      <w:r>
        <w:t>Źródło: Opracowanie własne.</w:t>
      </w:r>
    </w:p>
    <w:p w:rsidR="00B7157A" w:rsidRDefault="00B7157A" w:rsidP="00B7157A">
      <w:pPr>
        <w:spacing w:after="0" w:line="360" w:lineRule="auto"/>
        <w:jc w:val="both"/>
        <w:rPr>
          <w:rFonts w:ascii="Times New Roman" w:hAnsi="Times New Roman" w:cs="Times New Roman"/>
          <w:sz w:val="24"/>
          <w:szCs w:val="24"/>
        </w:rPr>
      </w:pPr>
    </w:p>
    <w:p w:rsidR="00787ACA" w:rsidRPr="002E19D8" w:rsidRDefault="00FC1F81" w:rsidP="002E19D8">
      <w:pPr>
        <w:pStyle w:val="tekstpods"/>
        <w:spacing w:line="360" w:lineRule="auto"/>
        <w:rPr>
          <w:szCs w:val="24"/>
        </w:rPr>
      </w:pPr>
      <w:r>
        <w:rPr>
          <w:szCs w:val="24"/>
        </w:rPr>
        <w:t>Pierwsze fazy</w:t>
      </w:r>
      <w:r w:rsidR="00D720C2">
        <w:rPr>
          <w:szCs w:val="24"/>
        </w:rPr>
        <w:t xml:space="preserve"> procesu internacjonalizacji</w:t>
      </w:r>
      <w:r>
        <w:rPr>
          <w:szCs w:val="24"/>
        </w:rPr>
        <w:t xml:space="preserve"> obejmują</w:t>
      </w:r>
      <w:r w:rsidR="00F779CC" w:rsidRPr="006055E0">
        <w:rPr>
          <w:szCs w:val="24"/>
        </w:rPr>
        <w:t xml:space="preserve"> wymianę studencką i kadry</w:t>
      </w:r>
      <w:r w:rsidR="00594BAF" w:rsidRPr="006055E0">
        <w:rPr>
          <w:szCs w:val="24"/>
        </w:rPr>
        <w:t xml:space="preserve"> w ramach utworzonych sieci, często przy wsparciu finansowym instytucji zewnętrznych. Następne </w:t>
      </w:r>
      <w:r w:rsidR="00AA24E2">
        <w:rPr>
          <w:szCs w:val="24"/>
        </w:rPr>
        <w:t>etapy</w:t>
      </w:r>
      <w:r w:rsidR="00594BAF" w:rsidRPr="006055E0">
        <w:rPr>
          <w:szCs w:val="24"/>
        </w:rPr>
        <w:t xml:space="preserve"> wymagają już coraz większych nak</w:t>
      </w:r>
      <w:r w:rsidR="00FC2F84">
        <w:rPr>
          <w:szCs w:val="24"/>
        </w:rPr>
        <w:t xml:space="preserve">ładów własnych i są najczęściej, albo być powinny, </w:t>
      </w:r>
      <w:r w:rsidR="00594BAF" w:rsidRPr="006055E0">
        <w:rPr>
          <w:szCs w:val="24"/>
        </w:rPr>
        <w:t>wynikiem pogłębionych analiz rynkowych</w:t>
      </w:r>
      <w:r w:rsidR="00FC2F84">
        <w:rPr>
          <w:szCs w:val="24"/>
        </w:rPr>
        <w:t xml:space="preserve"> (</w:t>
      </w:r>
      <w:proofErr w:type="spellStart"/>
      <w:r w:rsidR="00FC2F84">
        <w:rPr>
          <w:szCs w:val="24"/>
        </w:rPr>
        <w:t>Szomnik</w:t>
      </w:r>
      <w:proofErr w:type="spellEnd"/>
      <w:r w:rsidR="00FC2F84">
        <w:rPr>
          <w:szCs w:val="24"/>
        </w:rPr>
        <w:t>, 2014)</w:t>
      </w:r>
      <w:r w:rsidR="00594BAF" w:rsidRPr="006055E0">
        <w:rPr>
          <w:szCs w:val="24"/>
        </w:rPr>
        <w:t>.</w:t>
      </w:r>
    </w:p>
    <w:p w:rsidR="00787ACA" w:rsidRPr="00787ACA" w:rsidRDefault="00787ACA" w:rsidP="00787ACA">
      <w:pPr>
        <w:keepNext/>
        <w:numPr>
          <w:ilvl w:val="1"/>
          <w:numId w:val="0"/>
        </w:numPr>
        <w:tabs>
          <w:tab w:val="num" w:pos="0"/>
        </w:tabs>
        <w:spacing w:before="380" w:after="286" w:line="240" w:lineRule="auto"/>
        <w:ind w:left="828"/>
        <w:outlineLvl w:val="1"/>
        <w:rPr>
          <w:rFonts w:ascii="Times New Roman" w:eastAsia="Times New Roman" w:hAnsi="Times New Roman" w:cs="Times New Roman"/>
          <w:b/>
          <w:sz w:val="24"/>
          <w:szCs w:val="20"/>
          <w:lang w:eastAsia="pl-PL"/>
        </w:rPr>
      </w:pPr>
      <w:r>
        <w:rPr>
          <w:rFonts w:ascii="Times New Roman" w:eastAsia="Times New Roman" w:hAnsi="Times New Roman" w:cs="Times New Roman"/>
          <w:b/>
          <w:sz w:val="24"/>
          <w:szCs w:val="20"/>
          <w:lang w:eastAsia="pl-PL"/>
        </w:rPr>
        <w:t>3.1.</w:t>
      </w:r>
      <w:r w:rsidRPr="00787ACA">
        <w:t xml:space="preserve"> </w:t>
      </w:r>
      <w:r w:rsidRPr="00787ACA">
        <w:rPr>
          <w:rFonts w:ascii="Times New Roman" w:eastAsia="Times New Roman" w:hAnsi="Times New Roman" w:cs="Times New Roman"/>
          <w:b/>
          <w:sz w:val="24"/>
          <w:szCs w:val="20"/>
          <w:lang w:eastAsia="pl-PL"/>
        </w:rPr>
        <w:t>Mobilność w ramach sieci międzynarodowych, na przykładzie programu Erasmus</w:t>
      </w:r>
    </w:p>
    <w:p w:rsidR="00A72C51" w:rsidRPr="002E19D8" w:rsidRDefault="00910C0C" w:rsidP="002E19D8">
      <w:pPr>
        <w:pStyle w:val="tekstpods"/>
      </w:pPr>
      <w:r w:rsidRPr="006055E0">
        <w:rPr>
          <w:szCs w:val="24"/>
        </w:rPr>
        <w:t>Niewątpliwie największym programem wymiany studentów i pracowników szkolnictwa wyższego stał się</w:t>
      </w:r>
      <w:r w:rsidR="00C11F77">
        <w:rPr>
          <w:szCs w:val="24"/>
        </w:rPr>
        <w:t xml:space="preserve"> wspomniany już</w:t>
      </w:r>
      <w:r w:rsidRPr="006055E0">
        <w:rPr>
          <w:szCs w:val="24"/>
        </w:rPr>
        <w:t xml:space="preserve"> program Erasmus, realizowany w ostatnich latach w ramach </w:t>
      </w:r>
      <w:r w:rsidR="00A86181">
        <w:rPr>
          <w:szCs w:val="24"/>
        </w:rPr>
        <w:t>programu</w:t>
      </w:r>
      <w:r w:rsidRPr="006055E0">
        <w:rPr>
          <w:szCs w:val="24"/>
        </w:rPr>
        <w:t xml:space="preserve"> </w:t>
      </w:r>
      <w:r w:rsidR="00C11F77">
        <w:rPr>
          <w:szCs w:val="24"/>
        </w:rPr>
        <w:t>„</w:t>
      </w:r>
      <w:r w:rsidR="00A86181">
        <w:rPr>
          <w:szCs w:val="24"/>
        </w:rPr>
        <w:t>Uczenie się przez całe ż</w:t>
      </w:r>
      <w:r w:rsidRPr="006055E0">
        <w:rPr>
          <w:szCs w:val="24"/>
        </w:rPr>
        <w:t>ycie</w:t>
      </w:r>
      <w:r w:rsidR="00C11F77">
        <w:rPr>
          <w:szCs w:val="24"/>
        </w:rPr>
        <w:t>”</w:t>
      </w:r>
      <w:r w:rsidRPr="006055E0">
        <w:rPr>
          <w:szCs w:val="24"/>
        </w:rPr>
        <w:t xml:space="preserve"> (</w:t>
      </w:r>
      <w:proofErr w:type="spellStart"/>
      <w:r w:rsidR="007056FD">
        <w:rPr>
          <w:szCs w:val="24"/>
        </w:rPr>
        <w:t>Lifelong</w:t>
      </w:r>
      <w:proofErr w:type="spellEnd"/>
      <w:r w:rsidR="007056FD">
        <w:rPr>
          <w:szCs w:val="24"/>
        </w:rPr>
        <w:t xml:space="preserve"> Learning </w:t>
      </w:r>
      <w:proofErr w:type="spellStart"/>
      <w:r w:rsidR="007056FD">
        <w:rPr>
          <w:szCs w:val="24"/>
        </w:rPr>
        <w:t>Programme</w:t>
      </w:r>
      <w:proofErr w:type="spellEnd"/>
      <w:r w:rsidR="007056FD">
        <w:rPr>
          <w:szCs w:val="24"/>
        </w:rPr>
        <w:t xml:space="preserve"> – </w:t>
      </w:r>
      <w:r w:rsidRPr="006055E0">
        <w:rPr>
          <w:szCs w:val="24"/>
        </w:rPr>
        <w:t>LLP), który aktualnie</w:t>
      </w:r>
      <w:r w:rsidR="001545D4">
        <w:rPr>
          <w:szCs w:val="24"/>
        </w:rPr>
        <w:t xml:space="preserve"> – </w:t>
      </w:r>
      <w:r w:rsidRPr="006055E0">
        <w:rPr>
          <w:szCs w:val="24"/>
        </w:rPr>
        <w:t xml:space="preserve">od roku akademickiego 2014/15 </w:t>
      </w:r>
      <w:r w:rsidR="001545D4">
        <w:rPr>
          <w:szCs w:val="24"/>
        </w:rPr>
        <w:t xml:space="preserve">– </w:t>
      </w:r>
      <w:r w:rsidRPr="006055E0">
        <w:rPr>
          <w:szCs w:val="24"/>
        </w:rPr>
        <w:t xml:space="preserve">wchodzi </w:t>
      </w:r>
      <w:r w:rsidR="005E39FF">
        <w:rPr>
          <w:szCs w:val="24"/>
        </w:rPr>
        <w:t>„</w:t>
      </w:r>
      <w:r w:rsidRPr="006055E0">
        <w:rPr>
          <w:szCs w:val="24"/>
        </w:rPr>
        <w:t>w nową erę</w:t>
      </w:r>
      <w:r w:rsidR="005E39FF">
        <w:rPr>
          <w:szCs w:val="24"/>
        </w:rPr>
        <w:t>”</w:t>
      </w:r>
      <w:r w:rsidRPr="006055E0">
        <w:rPr>
          <w:szCs w:val="24"/>
        </w:rPr>
        <w:t xml:space="preserve"> Erasmusa+, w ramach strategii „Europejskie </w:t>
      </w:r>
      <w:r w:rsidR="001545D4">
        <w:rPr>
          <w:szCs w:val="24"/>
        </w:rPr>
        <w:t>s</w:t>
      </w:r>
      <w:r w:rsidRPr="006055E0">
        <w:rPr>
          <w:szCs w:val="24"/>
        </w:rPr>
        <w:t xml:space="preserve">zkolnictwo </w:t>
      </w:r>
      <w:r w:rsidR="001545D4">
        <w:rPr>
          <w:szCs w:val="24"/>
        </w:rPr>
        <w:t>w</w:t>
      </w:r>
      <w:r w:rsidRPr="006055E0">
        <w:rPr>
          <w:szCs w:val="24"/>
        </w:rPr>
        <w:t xml:space="preserve">yższe na </w:t>
      </w:r>
      <w:r w:rsidR="001545D4">
        <w:rPr>
          <w:szCs w:val="24"/>
        </w:rPr>
        <w:t>ś</w:t>
      </w:r>
      <w:r w:rsidRPr="006055E0">
        <w:rPr>
          <w:szCs w:val="24"/>
        </w:rPr>
        <w:t xml:space="preserve">wiecie”. Przez lata program Erasmus ulegał ciągłym przemianom i rozwojowi, a beneficjenci </w:t>
      </w:r>
      <w:r w:rsidR="001545D4">
        <w:rPr>
          <w:szCs w:val="24"/>
        </w:rPr>
        <w:t xml:space="preserve">w jego ramach </w:t>
      </w:r>
      <w:r w:rsidR="00A72C51">
        <w:rPr>
          <w:szCs w:val="24"/>
        </w:rPr>
        <w:t>zyskiwali</w:t>
      </w:r>
      <w:r w:rsidR="001545D4">
        <w:rPr>
          <w:szCs w:val="24"/>
        </w:rPr>
        <w:t xml:space="preserve"> </w:t>
      </w:r>
      <w:r w:rsidRPr="006055E0">
        <w:rPr>
          <w:szCs w:val="24"/>
        </w:rPr>
        <w:t>now</w:t>
      </w:r>
      <w:r w:rsidR="001545D4">
        <w:rPr>
          <w:szCs w:val="24"/>
        </w:rPr>
        <w:t>e</w:t>
      </w:r>
      <w:r w:rsidRPr="006055E0">
        <w:rPr>
          <w:szCs w:val="24"/>
        </w:rPr>
        <w:t xml:space="preserve"> możliwości</w:t>
      </w:r>
      <w:r w:rsidR="001545D4">
        <w:rPr>
          <w:szCs w:val="24"/>
        </w:rPr>
        <w:t>:</w:t>
      </w:r>
      <w:r w:rsidRPr="006055E0">
        <w:rPr>
          <w:szCs w:val="24"/>
        </w:rPr>
        <w:t xml:space="preserve"> </w:t>
      </w:r>
      <w:r w:rsidR="001545D4">
        <w:rPr>
          <w:szCs w:val="24"/>
        </w:rPr>
        <w:t xml:space="preserve">udziału </w:t>
      </w:r>
      <w:r w:rsidR="003B664C">
        <w:rPr>
          <w:szCs w:val="24"/>
        </w:rPr>
        <w:t xml:space="preserve">w </w:t>
      </w:r>
      <w:r w:rsidR="00122004" w:rsidRPr="006055E0">
        <w:rPr>
          <w:szCs w:val="24"/>
        </w:rPr>
        <w:t>program</w:t>
      </w:r>
      <w:r w:rsidR="001545D4">
        <w:rPr>
          <w:szCs w:val="24"/>
        </w:rPr>
        <w:t>ie</w:t>
      </w:r>
      <w:r w:rsidR="00122004" w:rsidRPr="006055E0">
        <w:rPr>
          <w:szCs w:val="24"/>
        </w:rPr>
        <w:t xml:space="preserve"> praktyk</w:t>
      </w:r>
      <w:r w:rsidRPr="006055E0">
        <w:rPr>
          <w:szCs w:val="24"/>
        </w:rPr>
        <w:t>, kurs</w:t>
      </w:r>
      <w:r w:rsidR="001545D4">
        <w:rPr>
          <w:szCs w:val="24"/>
        </w:rPr>
        <w:t>ach</w:t>
      </w:r>
      <w:r w:rsidRPr="006055E0">
        <w:rPr>
          <w:szCs w:val="24"/>
        </w:rPr>
        <w:t xml:space="preserve"> intensywn</w:t>
      </w:r>
      <w:r w:rsidR="001545D4">
        <w:rPr>
          <w:szCs w:val="24"/>
        </w:rPr>
        <w:t>ych</w:t>
      </w:r>
      <w:r w:rsidRPr="006055E0">
        <w:rPr>
          <w:szCs w:val="24"/>
        </w:rPr>
        <w:t xml:space="preserve"> (IP)</w:t>
      </w:r>
      <w:r w:rsidR="001545D4">
        <w:rPr>
          <w:szCs w:val="24"/>
        </w:rPr>
        <w:t xml:space="preserve"> czy programie </w:t>
      </w:r>
      <w:r w:rsidRPr="006055E0">
        <w:rPr>
          <w:szCs w:val="24"/>
        </w:rPr>
        <w:t xml:space="preserve">Erasmus </w:t>
      </w:r>
      <w:proofErr w:type="spellStart"/>
      <w:r w:rsidRPr="006055E0">
        <w:rPr>
          <w:szCs w:val="24"/>
        </w:rPr>
        <w:t>Mundus</w:t>
      </w:r>
      <w:proofErr w:type="spellEnd"/>
      <w:r w:rsidRPr="006055E0">
        <w:rPr>
          <w:szCs w:val="24"/>
        </w:rPr>
        <w:t xml:space="preserve"> ukierunkowany</w:t>
      </w:r>
      <w:r w:rsidR="001545D4">
        <w:rPr>
          <w:szCs w:val="24"/>
        </w:rPr>
        <w:t>m</w:t>
      </w:r>
      <w:r w:rsidRPr="006055E0">
        <w:rPr>
          <w:szCs w:val="24"/>
        </w:rPr>
        <w:t xml:space="preserve"> na współpracę z krajami spoza UE.</w:t>
      </w:r>
      <w:r w:rsidR="00122004" w:rsidRPr="006055E0">
        <w:rPr>
          <w:szCs w:val="24"/>
        </w:rPr>
        <w:t xml:space="preserve"> Dzięki </w:t>
      </w:r>
      <w:r w:rsidR="008E4778">
        <w:rPr>
          <w:szCs w:val="24"/>
        </w:rPr>
        <w:t>u</w:t>
      </w:r>
      <w:r w:rsidR="00122004" w:rsidRPr="006055E0">
        <w:rPr>
          <w:szCs w:val="24"/>
        </w:rPr>
        <w:t>powszechnieniu systemu punktów kredytowych ECTS</w:t>
      </w:r>
      <w:r w:rsidR="00A72C51">
        <w:rPr>
          <w:szCs w:val="24"/>
        </w:rPr>
        <w:t xml:space="preserve"> Erasmus </w:t>
      </w:r>
      <w:r w:rsidR="00122004" w:rsidRPr="006055E0">
        <w:rPr>
          <w:szCs w:val="24"/>
        </w:rPr>
        <w:t>stworzył ramy pełnego uzna</w:t>
      </w:r>
      <w:r w:rsidR="008E4778">
        <w:rPr>
          <w:szCs w:val="24"/>
        </w:rPr>
        <w:t>wa</w:t>
      </w:r>
      <w:r w:rsidR="00122004" w:rsidRPr="006055E0">
        <w:rPr>
          <w:szCs w:val="24"/>
        </w:rPr>
        <w:t>nia studentom semestrów spędzonych na uczelni zagranicznej.</w:t>
      </w:r>
      <w:r w:rsidRPr="006055E0">
        <w:rPr>
          <w:szCs w:val="24"/>
        </w:rPr>
        <w:t xml:space="preserve"> </w:t>
      </w:r>
      <w:r w:rsidR="008E4778">
        <w:rPr>
          <w:szCs w:val="24"/>
        </w:rPr>
        <w:t>D</w:t>
      </w:r>
      <w:r w:rsidRPr="006055E0">
        <w:rPr>
          <w:szCs w:val="24"/>
        </w:rPr>
        <w:t>o 2013 r. z mobilności w ramach programu E</w:t>
      </w:r>
      <w:r w:rsidR="008E4778">
        <w:rPr>
          <w:szCs w:val="24"/>
        </w:rPr>
        <w:t>rasmus</w:t>
      </w:r>
      <w:r w:rsidRPr="006055E0">
        <w:rPr>
          <w:szCs w:val="24"/>
        </w:rPr>
        <w:t xml:space="preserve"> </w:t>
      </w:r>
      <w:r w:rsidR="008E4778">
        <w:rPr>
          <w:szCs w:val="24"/>
        </w:rPr>
        <w:t xml:space="preserve">skorzystało </w:t>
      </w:r>
      <w:r w:rsidRPr="006055E0">
        <w:rPr>
          <w:szCs w:val="24"/>
        </w:rPr>
        <w:t>ponad 3 miliony studentów</w:t>
      </w:r>
      <w:r w:rsidR="008E4778">
        <w:rPr>
          <w:szCs w:val="24"/>
        </w:rPr>
        <w:t xml:space="preserve"> oraz</w:t>
      </w:r>
      <w:r w:rsidRPr="006055E0">
        <w:rPr>
          <w:szCs w:val="24"/>
        </w:rPr>
        <w:t xml:space="preserve"> 300 tysięcy nauczycieli akademickich i pracowników administracji uniwersyteckiej z 4 tysięcy instytucji </w:t>
      </w:r>
      <w:r w:rsidR="00A72C51">
        <w:rPr>
          <w:szCs w:val="24"/>
        </w:rPr>
        <w:t>i</w:t>
      </w:r>
      <w:r w:rsidRPr="006055E0">
        <w:rPr>
          <w:szCs w:val="24"/>
        </w:rPr>
        <w:t xml:space="preserve"> 33 uczestniczących krajów</w:t>
      </w:r>
      <w:r w:rsidRPr="006055E0">
        <w:rPr>
          <w:rStyle w:val="Odwoanieprzypisudolnego"/>
          <w:szCs w:val="24"/>
        </w:rPr>
        <w:footnoteReference w:id="2"/>
      </w:r>
      <w:r w:rsidR="008E4778">
        <w:rPr>
          <w:szCs w:val="24"/>
        </w:rPr>
        <w:t>.</w:t>
      </w:r>
      <w:r w:rsidRPr="006055E0">
        <w:rPr>
          <w:szCs w:val="24"/>
        </w:rPr>
        <w:t xml:space="preserve"> W ramach wspomnianego nowego programu UE na rzecz kształcenia, szkolenia młodzieży i sportu</w:t>
      </w:r>
      <w:r w:rsidR="00A72C51">
        <w:rPr>
          <w:szCs w:val="24"/>
        </w:rPr>
        <w:t xml:space="preserve">: </w:t>
      </w:r>
      <w:r w:rsidRPr="006055E0">
        <w:rPr>
          <w:szCs w:val="24"/>
        </w:rPr>
        <w:t xml:space="preserve">Erasmus+, 400 milionów </w:t>
      </w:r>
      <w:r w:rsidR="008E4778">
        <w:rPr>
          <w:szCs w:val="24"/>
        </w:rPr>
        <w:t>euro</w:t>
      </w:r>
      <w:r w:rsidRPr="006055E0">
        <w:rPr>
          <w:szCs w:val="24"/>
        </w:rPr>
        <w:t xml:space="preserve"> rocznie przeznaczonych zostanie na wspieranie międzynarodowej wymiany studentów i pogłębionej współpracy między uczelniami europejskimi i ich partnerami na całym świecie. </w:t>
      </w:r>
      <w:r w:rsidR="00F71F67" w:rsidRPr="006055E0">
        <w:rPr>
          <w:szCs w:val="24"/>
        </w:rPr>
        <w:t xml:space="preserve">Przewiduje się, że z programu skorzysta łącznie blisko 5 milionów uczestników oraz 115 tysięcy różnych </w:t>
      </w:r>
      <w:r w:rsidR="00F71F67" w:rsidRPr="006055E0">
        <w:rPr>
          <w:szCs w:val="24"/>
        </w:rPr>
        <w:lastRenderedPageBreak/>
        <w:t>instytucji</w:t>
      </w:r>
      <w:r w:rsidR="00F71F67" w:rsidRPr="006055E0">
        <w:rPr>
          <w:rStyle w:val="Odwoanieprzypisudolnego"/>
          <w:szCs w:val="24"/>
        </w:rPr>
        <w:footnoteReference w:id="3"/>
      </w:r>
      <w:r w:rsidR="00F71F67" w:rsidRPr="006055E0">
        <w:rPr>
          <w:szCs w:val="24"/>
        </w:rPr>
        <w:t xml:space="preserve">. </w:t>
      </w:r>
      <w:r w:rsidRPr="006055E0">
        <w:rPr>
          <w:szCs w:val="24"/>
        </w:rPr>
        <w:t>Wśród głównych celów strategii KE</w:t>
      </w:r>
      <w:r w:rsidR="000D05EA">
        <w:rPr>
          <w:szCs w:val="24"/>
        </w:rPr>
        <w:t xml:space="preserve"> związanych z Erasmusem+</w:t>
      </w:r>
      <w:r w:rsidRPr="006055E0">
        <w:rPr>
          <w:szCs w:val="24"/>
        </w:rPr>
        <w:t xml:space="preserve"> znalazły się między innymi odniesienia do konieczności pod</w:t>
      </w:r>
      <w:r w:rsidR="00A72C51">
        <w:rPr>
          <w:szCs w:val="24"/>
        </w:rPr>
        <w:t>wyższenia</w:t>
      </w:r>
      <w:r w:rsidRPr="006055E0">
        <w:rPr>
          <w:szCs w:val="24"/>
        </w:rPr>
        <w:t xml:space="preserve"> jakości kształcenia, stymulowania innowacyjności i tworzenia miejsc pracy</w:t>
      </w:r>
      <w:r w:rsidRPr="006055E0">
        <w:rPr>
          <w:rStyle w:val="Odwoanieprzypisudolnego"/>
          <w:szCs w:val="24"/>
        </w:rPr>
        <w:footnoteReference w:id="4"/>
      </w:r>
      <w:r w:rsidR="00071162">
        <w:rPr>
          <w:szCs w:val="24"/>
        </w:rPr>
        <w:t>.</w:t>
      </w:r>
    </w:p>
    <w:p w:rsidR="0002500F" w:rsidRPr="00B12938" w:rsidRDefault="00B12938" w:rsidP="00B12938">
      <w:pPr>
        <w:keepNext/>
        <w:numPr>
          <w:ilvl w:val="1"/>
          <w:numId w:val="0"/>
        </w:numPr>
        <w:tabs>
          <w:tab w:val="num" w:pos="0"/>
        </w:tabs>
        <w:spacing w:before="380" w:after="286" w:line="240" w:lineRule="auto"/>
        <w:ind w:left="828"/>
        <w:outlineLvl w:val="1"/>
        <w:rPr>
          <w:rFonts w:ascii="Times New Roman" w:eastAsia="Times New Roman" w:hAnsi="Times New Roman" w:cs="Times New Roman"/>
          <w:b/>
          <w:sz w:val="24"/>
          <w:szCs w:val="20"/>
          <w:lang w:eastAsia="pl-PL"/>
        </w:rPr>
      </w:pPr>
      <w:r>
        <w:rPr>
          <w:rFonts w:ascii="Times New Roman" w:eastAsia="Times New Roman" w:hAnsi="Times New Roman" w:cs="Times New Roman"/>
          <w:b/>
          <w:sz w:val="24"/>
          <w:szCs w:val="20"/>
          <w:lang w:eastAsia="pl-PL"/>
        </w:rPr>
        <w:t xml:space="preserve">3.2. </w:t>
      </w:r>
      <w:r w:rsidR="00AB77A3" w:rsidRPr="00B12938">
        <w:rPr>
          <w:rFonts w:ascii="Times New Roman" w:eastAsia="Times New Roman" w:hAnsi="Times New Roman" w:cs="Times New Roman"/>
          <w:b/>
          <w:sz w:val="24"/>
          <w:szCs w:val="20"/>
          <w:lang w:eastAsia="pl-PL"/>
        </w:rPr>
        <w:t>Podwójne i wspólne dyplomy oraz programy kształcenia</w:t>
      </w:r>
    </w:p>
    <w:p w:rsidR="00A72C51" w:rsidRPr="00EE291C" w:rsidRDefault="000D05EA" w:rsidP="00EE291C">
      <w:pPr>
        <w:pStyle w:val="tekstpods"/>
      </w:pPr>
      <w:r>
        <w:rPr>
          <w:szCs w:val="24"/>
        </w:rPr>
        <w:t xml:space="preserve">Rozwiązania </w:t>
      </w:r>
      <w:r w:rsidR="00910C0C" w:rsidRPr="006055E0">
        <w:rPr>
          <w:szCs w:val="24"/>
        </w:rPr>
        <w:t xml:space="preserve">te polegają na przyznawaniu </w:t>
      </w:r>
      <w:r w:rsidR="00F354D9">
        <w:rPr>
          <w:szCs w:val="24"/>
        </w:rPr>
        <w:t xml:space="preserve">absolwentowi </w:t>
      </w:r>
      <w:r>
        <w:rPr>
          <w:szCs w:val="24"/>
        </w:rPr>
        <w:t>dwóch dyplomów</w:t>
      </w:r>
      <w:r w:rsidR="00910C0C" w:rsidRPr="006055E0">
        <w:rPr>
          <w:szCs w:val="24"/>
        </w:rPr>
        <w:t xml:space="preserve"> przez dwie uczelnie po ukończeniu </w:t>
      </w:r>
      <w:r w:rsidR="00F354D9">
        <w:rPr>
          <w:szCs w:val="24"/>
        </w:rPr>
        <w:t xml:space="preserve">przez niego </w:t>
      </w:r>
      <w:r w:rsidR="00910C0C" w:rsidRPr="006055E0">
        <w:rPr>
          <w:szCs w:val="24"/>
        </w:rPr>
        <w:t>dwóch niezależnych</w:t>
      </w:r>
      <w:r>
        <w:rPr>
          <w:szCs w:val="24"/>
        </w:rPr>
        <w:t>, choć uzgodnionych</w:t>
      </w:r>
      <w:r w:rsidR="00910C0C" w:rsidRPr="006055E0">
        <w:rPr>
          <w:szCs w:val="24"/>
        </w:rPr>
        <w:t xml:space="preserve"> programów lub</w:t>
      </w:r>
      <w:r w:rsidR="00B633B1">
        <w:rPr>
          <w:szCs w:val="24"/>
        </w:rPr>
        <w:t xml:space="preserve"> – </w:t>
      </w:r>
      <w:r w:rsidR="00910C0C" w:rsidRPr="006055E0">
        <w:rPr>
          <w:szCs w:val="24"/>
        </w:rPr>
        <w:t>w przypadku wspólnego dyplomu (programu kształcenia</w:t>
      </w:r>
      <w:r w:rsidR="00B633B1" w:rsidRPr="006055E0">
        <w:rPr>
          <w:szCs w:val="24"/>
        </w:rPr>
        <w:t>)</w:t>
      </w:r>
      <w:r w:rsidR="00B633B1">
        <w:rPr>
          <w:szCs w:val="24"/>
        </w:rPr>
        <w:t xml:space="preserve"> – </w:t>
      </w:r>
      <w:r w:rsidR="00910C0C" w:rsidRPr="006055E0">
        <w:rPr>
          <w:szCs w:val="24"/>
        </w:rPr>
        <w:t xml:space="preserve">na przyznawaniu </w:t>
      </w:r>
      <w:r>
        <w:rPr>
          <w:szCs w:val="24"/>
        </w:rPr>
        <w:t xml:space="preserve">jednego dyplomu sygnowanego </w:t>
      </w:r>
      <w:r w:rsidR="00A1487C">
        <w:rPr>
          <w:szCs w:val="24"/>
        </w:rPr>
        <w:t xml:space="preserve">przez </w:t>
      </w:r>
      <w:r w:rsidR="00910C0C" w:rsidRPr="006055E0">
        <w:rPr>
          <w:szCs w:val="24"/>
        </w:rPr>
        <w:t>niezależn</w:t>
      </w:r>
      <w:r>
        <w:rPr>
          <w:szCs w:val="24"/>
        </w:rPr>
        <w:t>e</w:t>
      </w:r>
      <w:r w:rsidR="00910C0C" w:rsidRPr="006055E0">
        <w:rPr>
          <w:szCs w:val="24"/>
        </w:rPr>
        <w:t xml:space="preserve"> uczelni</w:t>
      </w:r>
      <w:r>
        <w:rPr>
          <w:szCs w:val="24"/>
        </w:rPr>
        <w:t>e</w:t>
      </w:r>
      <w:r w:rsidR="00910C0C" w:rsidRPr="006055E0">
        <w:rPr>
          <w:szCs w:val="24"/>
        </w:rPr>
        <w:t xml:space="preserve"> za udział w jednym</w:t>
      </w:r>
      <w:r>
        <w:rPr>
          <w:szCs w:val="24"/>
        </w:rPr>
        <w:t xml:space="preserve"> realizowanym przez nie</w:t>
      </w:r>
      <w:r w:rsidR="00910C0C" w:rsidRPr="006055E0">
        <w:rPr>
          <w:szCs w:val="24"/>
        </w:rPr>
        <w:t xml:space="preserve"> programie. Tego typu praktyki pojawiły się już w latach 70</w:t>
      </w:r>
      <w:r w:rsidR="00B633B1">
        <w:rPr>
          <w:szCs w:val="24"/>
        </w:rPr>
        <w:t>. XX w.</w:t>
      </w:r>
      <w:r w:rsidR="00A1487C">
        <w:rPr>
          <w:szCs w:val="24"/>
        </w:rPr>
        <w:t>,</w:t>
      </w:r>
      <w:r w:rsidR="00910C0C" w:rsidRPr="006055E0">
        <w:rPr>
          <w:szCs w:val="24"/>
        </w:rPr>
        <w:t xml:space="preserve"> </w:t>
      </w:r>
      <w:r w:rsidR="00A1487C">
        <w:rPr>
          <w:szCs w:val="24"/>
        </w:rPr>
        <w:t>najczęściej</w:t>
      </w:r>
      <w:r w:rsidR="00A1487C" w:rsidRPr="006055E0">
        <w:rPr>
          <w:szCs w:val="24"/>
        </w:rPr>
        <w:t xml:space="preserve"> </w:t>
      </w:r>
      <w:r w:rsidR="00910C0C" w:rsidRPr="006055E0">
        <w:rPr>
          <w:szCs w:val="24"/>
        </w:rPr>
        <w:t>w dyscyplinach stosowanych, takich jak zarządzanie czy inżynier</w:t>
      </w:r>
      <w:r w:rsidR="00F354D9">
        <w:rPr>
          <w:szCs w:val="24"/>
        </w:rPr>
        <w:t>ia</w:t>
      </w:r>
      <w:r w:rsidR="00910C0C" w:rsidRPr="006055E0">
        <w:rPr>
          <w:szCs w:val="24"/>
        </w:rPr>
        <w:t>. Podstawowym wymogiem jest równorzędne zainteresowanie obu partnerów prowadzeni</w:t>
      </w:r>
      <w:r w:rsidR="00F354D9">
        <w:rPr>
          <w:szCs w:val="24"/>
        </w:rPr>
        <w:t>em</w:t>
      </w:r>
      <w:r w:rsidR="00910C0C" w:rsidRPr="006055E0">
        <w:rPr>
          <w:szCs w:val="24"/>
        </w:rPr>
        <w:t xml:space="preserve"> takich studiów</w:t>
      </w:r>
      <w:r w:rsidR="00B633B1">
        <w:rPr>
          <w:szCs w:val="24"/>
        </w:rPr>
        <w:t xml:space="preserve"> – </w:t>
      </w:r>
      <w:r w:rsidR="00910C0C" w:rsidRPr="006055E0">
        <w:rPr>
          <w:szCs w:val="24"/>
        </w:rPr>
        <w:t xml:space="preserve">czy to </w:t>
      </w:r>
      <w:r w:rsidR="00F354D9">
        <w:rPr>
          <w:szCs w:val="24"/>
        </w:rPr>
        <w:t xml:space="preserve">ze względu na </w:t>
      </w:r>
      <w:r w:rsidR="00910C0C" w:rsidRPr="006055E0">
        <w:rPr>
          <w:szCs w:val="24"/>
        </w:rPr>
        <w:t>ewentualn</w:t>
      </w:r>
      <w:r w:rsidR="00F354D9">
        <w:rPr>
          <w:szCs w:val="24"/>
        </w:rPr>
        <w:t>e</w:t>
      </w:r>
      <w:r w:rsidR="00910C0C" w:rsidRPr="006055E0">
        <w:rPr>
          <w:szCs w:val="24"/>
        </w:rPr>
        <w:t xml:space="preserve"> korzyści finansow</w:t>
      </w:r>
      <w:r w:rsidR="00F354D9">
        <w:rPr>
          <w:szCs w:val="24"/>
        </w:rPr>
        <w:t>e i</w:t>
      </w:r>
      <w:r w:rsidR="00910C0C" w:rsidRPr="006055E0">
        <w:rPr>
          <w:szCs w:val="24"/>
        </w:rPr>
        <w:t xml:space="preserve"> prestiż, czy też podniesieni</w:t>
      </w:r>
      <w:r w:rsidR="00F354D9">
        <w:rPr>
          <w:szCs w:val="24"/>
        </w:rPr>
        <w:t>e</w:t>
      </w:r>
      <w:r w:rsidR="00910C0C" w:rsidRPr="006055E0">
        <w:rPr>
          <w:szCs w:val="24"/>
        </w:rPr>
        <w:t xml:space="preserve"> jakości kształcenia. Ta forma </w:t>
      </w:r>
      <w:r w:rsidR="00F354D9">
        <w:rPr>
          <w:szCs w:val="24"/>
        </w:rPr>
        <w:t xml:space="preserve">internacjonalizacji </w:t>
      </w:r>
      <w:r w:rsidR="00A72C51">
        <w:rPr>
          <w:szCs w:val="24"/>
        </w:rPr>
        <w:t>wykorzystywana jest najczęściej w</w:t>
      </w:r>
      <w:r w:rsidR="00910C0C" w:rsidRPr="006055E0">
        <w:rPr>
          <w:szCs w:val="24"/>
        </w:rPr>
        <w:t xml:space="preserve"> pię</w:t>
      </w:r>
      <w:r w:rsidR="00A72C51">
        <w:rPr>
          <w:szCs w:val="24"/>
        </w:rPr>
        <w:t>ciu</w:t>
      </w:r>
      <w:r w:rsidR="00910C0C" w:rsidRPr="006055E0">
        <w:rPr>
          <w:szCs w:val="24"/>
        </w:rPr>
        <w:t xml:space="preserve"> kraj</w:t>
      </w:r>
      <w:r w:rsidR="00A72C51">
        <w:rPr>
          <w:szCs w:val="24"/>
        </w:rPr>
        <w:t>ach</w:t>
      </w:r>
      <w:r w:rsidR="00910C0C" w:rsidRPr="006055E0">
        <w:rPr>
          <w:szCs w:val="24"/>
        </w:rPr>
        <w:t xml:space="preserve">: </w:t>
      </w:r>
      <w:r w:rsidR="00A72C51">
        <w:rPr>
          <w:szCs w:val="24"/>
        </w:rPr>
        <w:t xml:space="preserve">we </w:t>
      </w:r>
      <w:r w:rsidR="00910C0C" w:rsidRPr="006055E0">
        <w:rPr>
          <w:szCs w:val="24"/>
        </w:rPr>
        <w:t>Francj</w:t>
      </w:r>
      <w:r w:rsidR="00A72C51">
        <w:rPr>
          <w:szCs w:val="24"/>
        </w:rPr>
        <w:t>i</w:t>
      </w:r>
      <w:r w:rsidR="00910C0C" w:rsidRPr="006055E0">
        <w:rPr>
          <w:szCs w:val="24"/>
        </w:rPr>
        <w:t xml:space="preserve">, </w:t>
      </w:r>
      <w:r w:rsidR="00A72C51">
        <w:rPr>
          <w:szCs w:val="24"/>
        </w:rPr>
        <w:t xml:space="preserve">w </w:t>
      </w:r>
      <w:r w:rsidR="00910C0C" w:rsidRPr="006055E0">
        <w:rPr>
          <w:szCs w:val="24"/>
        </w:rPr>
        <w:t>Chin</w:t>
      </w:r>
      <w:r w:rsidR="00A72C51">
        <w:rPr>
          <w:szCs w:val="24"/>
        </w:rPr>
        <w:t>ach</w:t>
      </w:r>
      <w:r w:rsidR="00910C0C" w:rsidRPr="006055E0">
        <w:rPr>
          <w:szCs w:val="24"/>
        </w:rPr>
        <w:t>, Niemc</w:t>
      </w:r>
      <w:r w:rsidR="00A72C51">
        <w:rPr>
          <w:szCs w:val="24"/>
        </w:rPr>
        <w:t>zech</w:t>
      </w:r>
      <w:r w:rsidR="00910C0C" w:rsidRPr="006055E0">
        <w:rPr>
          <w:szCs w:val="24"/>
        </w:rPr>
        <w:t>, Hiszpani</w:t>
      </w:r>
      <w:r w:rsidR="00A72C51">
        <w:rPr>
          <w:szCs w:val="24"/>
        </w:rPr>
        <w:t>i</w:t>
      </w:r>
      <w:r w:rsidR="00910C0C" w:rsidRPr="006055E0">
        <w:rPr>
          <w:szCs w:val="24"/>
        </w:rPr>
        <w:t xml:space="preserve"> oraz Stan</w:t>
      </w:r>
      <w:r w:rsidR="00A72C51">
        <w:rPr>
          <w:szCs w:val="24"/>
        </w:rPr>
        <w:t>ach</w:t>
      </w:r>
      <w:r w:rsidR="00910C0C" w:rsidRPr="006055E0">
        <w:rPr>
          <w:szCs w:val="24"/>
        </w:rPr>
        <w:t xml:space="preserve"> Zjednoczon</w:t>
      </w:r>
      <w:r w:rsidR="00A72C51">
        <w:rPr>
          <w:szCs w:val="24"/>
        </w:rPr>
        <w:t>ych</w:t>
      </w:r>
      <w:r w:rsidR="00910C0C" w:rsidRPr="006055E0">
        <w:rPr>
          <w:rStyle w:val="Odwoanieprzypisudolnego"/>
          <w:szCs w:val="24"/>
        </w:rPr>
        <w:footnoteReference w:id="5"/>
      </w:r>
      <w:r w:rsidR="00F354D9">
        <w:rPr>
          <w:szCs w:val="24"/>
        </w:rPr>
        <w:t>.</w:t>
      </w:r>
      <w:r w:rsidR="002B1BDB">
        <w:rPr>
          <w:szCs w:val="24"/>
        </w:rPr>
        <w:t xml:space="preserve"> Podwójne lub wspólne dyplomowanie nakłada na współpracujące uczelnie wiele wymogów formalnych, co może przyczyniać się do poprawy </w:t>
      </w:r>
      <w:r w:rsidR="00BD2A3E">
        <w:rPr>
          <w:szCs w:val="24"/>
        </w:rPr>
        <w:t>organizacji kształcenia oraz</w:t>
      </w:r>
      <w:r w:rsidR="00A72C51">
        <w:rPr>
          <w:szCs w:val="24"/>
        </w:rPr>
        <w:t xml:space="preserve"> jakości</w:t>
      </w:r>
      <w:r w:rsidR="00BD2A3E">
        <w:rPr>
          <w:szCs w:val="24"/>
        </w:rPr>
        <w:t xml:space="preserve"> jego treści, a co za tym idzie</w:t>
      </w:r>
      <w:r w:rsidR="00B633B1">
        <w:rPr>
          <w:szCs w:val="24"/>
        </w:rPr>
        <w:t xml:space="preserve"> – </w:t>
      </w:r>
      <w:r w:rsidR="00BD2A3E">
        <w:rPr>
          <w:szCs w:val="24"/>
        </w:rPr>
        <w:t>do zwiększenia konkurencyjności oferowanych programów.</w:t>
      </w:r>
    </w:p>
    <w:p w:rsidR="0002500F" w:rsidRPr="00EE291C" w:rsidRDefault="00EE291C" w:rsidP="00EE291C">
      <w:pPr>
        <w:keepNext/>
        <w:numPr>
          <w:ilvl w:val="1"/>
          <w:numId w:val="0"/>
        </w:numPr>
        <w:tabs>
          <w:tab w:val="num" w:pos="0"/>
        </w:tabs>
        <w:spacing w:before="380" w:after="286" w:line="240" w:lineRule="auto"/>
        <w:ind w:left="828"/>
        <w:outlineLvl w:val="1"/>
        <w:rPr>
          <w:rFonts w:ascii="Times New Roman" w:eastAsia="Times New Roman" w:hAnsi="Times New Roman" w:cs="Times New Roman"/>
          <w:b/>
          <w:sz w:val="24"/>
          <w:szCs w:val="20"/>
          <w:lang w:eastAsia="pl-PL"/>
        </w:rPr>
      </w:pPr>
      <w:r>
        <w:rPr>
          <w:rFonts w:ascii="Times New Roman" w:eastAsia="Times New Roman" w:hAnsi="Times New Roman" w:cs="Times New Roman"/>
          <w:b/>
          <w:sz w:val="24"/>
          <w:szCs w:val="20"/>
          <w:lang w:eastAsia="pl-PL"/>
        </w:rPr>
        <w:t xml:space="preserve">3.3. </w:t>
      </w:r>
      <w:r w:rsidR="00AB77A3" w:rsidRPr="00EE291C">
        <w:rPr>
          <w:rFonts w:ascii="Times New Roman" w:eastAsia="Times New Roman" w:hAnsi="Times New Roman" w:cs="Times New Roman"/>
          <w:b/>
          <w:sz w:val="24"/>
          <w:szCs w:val="20"/>
          <w:lang w:eastAsia="pl-PL"/>
        </w:rPr>
        <w:t>Kształcenie na odległość</w:t>
      </w:r>
    </w:p>
    <w:p w:rsidR="00EE291C" w:rsidRDefault="00744F61" w:rsidP="00EE291C">
      <w:pPr>
        <w:pStyle w:val="tekstpods"/>
        <w:rPr>
          <w:szCs w:val="24"/>
        </w:rPr>
      </w:pPr>
      <w:r w:rsidRPr="00EE291C">
        <w:rPr>
          <w:szCs w:val="24"/>
        </w:rPr>
        <w:t xml:space="preserve">Technologie informatyczne i komunikacyjne wywarły ogromny wpływ </w:t>
      </w:r>
      <w:r w:rsidR="00BD6562" w:rsidRPr="00EE291C">
        <w:rPr>
          <w:szCs w:val="24"/>
        </w:rPr>
        <w:t xml:space="preserve">również </w:t>
      </w:r>
      <w:r w:rsidRPr="00EE291C">
        <w:rPr>
          <w:szCs w:val="24"/>
        </w:rPr>
        <w:t>na sferę międzynarodową działalności uczelni. Umożliwiają one coś</w:t>
      </w:r>
      <w:r w:rsidR="00F354D9" w:rsidRPr="00EE291C">
        <w:rPr>
          <w:szCs w:val="24"/>
        </w:rPr>
        <w:t>,</w:t>
      </w:r>
      <w:r w:rsidRPr="00EE291C">
        <w:rPr>
          <w:szCs w:val="24"/>
        </w:rPr>
        <w:t xml:space="preserve"> co można nazwać</w:t>
      </w:r>
      <w:r w:rsidRPr="006055E0">
        <w:rPr>
          <w:szCs w:val="24"/>
        </w:rPr>
        <w:t xml:space="preserve"> internacjonalizacją wirtualną, dającą dostęp do edukacji zamiejscowej, w tym kontekście zagranicznej, bez konieczności przemieszczania </w:t>
      </w:r>
      <w:r w:rsidR="003C6B71" w:rsidRPr="006055E0">
        <w:rPr>
          <w:szCs w:val="24"/>
        </w:rPr>
        <w:t>się. Stopień wykorzystania dostępnych narzędzi e-learningowych jest jednak jeszcze bardzo zróżnicowany, co wynika nie tylko z potencjału uczelni, ale również z bardziej lub mniej elastycznych ram prawnych i</w:t>
      </w:r>
      <w:r w:rsidR="007432F0" w:rsidRPr="006055E0">
        <w:rPr>
          <w:szCs w:val="24"/>
        </w:rPr>
        <w:t xml:space="preserve"> standardów kształcenia.</w:t>
      </w:r>
      <w:r w:rsidR="007E2F37" w:rsidRPr="006055E0">
        <w:rPr>
          <w:szCs w:val="24"/>
        </w:rPr>
        <w:t xml:space="preserve"> Ta forma zyskała zdecydowanie największą popularność w Australii</w:t>
      </w:r>
      <w:r w:rsidR="00D668DC" w:rsidRPr="006055E0">
        <w:rPr>
          <w:szCs w:val="24"/>
        </w:rPr>
        <w:t xml:space="preserve"> i w Stanach Zjednoczonych. </w:t>
      </w:r>
    </w:p>
    <w:p w:rsidR="00F27D0E" w:rsidRPr="00EE291C" w:rsidRDefault="00D668DC" w:rsidP="00EE291C">
      <w:pPr>
        <w:pStyle w:val="tekstpods"/>
      </w:pPr>
      <w:r w:rsidRPr="006055E0">
        <w:rPr>
          <w:szCs w:val="24"/>
        </w:rPr>
        <w:t xml:space="preserve">Ostatnio nastąpiła kolejna zmiana jakościowa w </w:t>
      </w:r>
      <w:r w:rsidR="008A2A70">
        <w:rPr>
          <w:szCs w:val="24"/>
        </w:rPr>
        <w:t xml:space="preserve">międzynarodowej </w:t>
      </w:r>
      <w:r w:rsidR="00F71F67" w:rsidRPr="006055E0">
        <w:rPr>
          <w:szCs w:val="24"/>
        </w:rPr>
        <w:t>edukacji</w:t>
      </w:r>
      <w:r w:rsidR="008A2A70">
        <w:rPr>
          <w:szCs w:val="24"/>
        </w:rPr>
        <w:t xml:space="preserve"> na odległość</w:t>
      </w:r>
      <w:r w:rsidR="00F71F67" w:rsidRPr="006055E0">
        <w:rPr>
          <w:szCs w:val="24"/>
        </w:rPr>
        <w:t xml:space="preserve">, a to za sprawą </w:t>
      </w:r>
      <w:r w:rsidR="008A2A70">
        <w:rPr>
          <w:szCs w:val="24"/>
        </w:rPr>
        <w:t xml:space="preserve">kursów typu </w:t>
      </w:r>
      <w:r w:rsidR="00F71F67" w:rsidRPr="006055E0">
        <w:rPr>
          <w:szCs w:val="24"/>
        </w:rPr>
        <w:t>MOOC (</w:t>
      </w:r>
      <w:proofErr w:type="spellStart"/>
      <w:r w:rsidR="00F71F67" w:rsidRPr="006055E0">
        <w:rPr>
          <w:szCs w:val="24"/>
        </w:rPr>
        <w:t>Massive</w:t>
      </w:r>
      <w:proofErr w:type="spellEnd"/>
      <w:r w:rsidR="00F71F67" w:rsidRPr="006055E0">
        <w:rPr>
          <w:szCs w:val="24"/>
        </w:rPr>
        <w:t xml:space="preserve"> Open </w:t>
      </w:r>
      <w:r w:rsidR="00F354D9">
        <w:rPr>
          <w:szCs w:val="24"/>
        </w:rPr>
        <w:t>Onl</w:t>
      </w:r>
      <w:r w:rsidR="00F71F67" w:rsidRPr="006055E0">
        <w:rPr>
          <w:szCs w:val="24"/>
        </w:rPr>
        <w:t>ine C</w:t>
      </w:r>
      <w:r w:rsidRPr="006055E0">
        <w:rPr>
          <w:szCs w:val="24"/>
        </w:rPr>
        <w:t xml:space="preserve">ourses), zapoczątkowanych </w:t>
      </w:r>
      <w:r w:rsidR="00544CF9" w:rsidRPr="006055E0">
        <w:rPr>
          <w:szCs w:val="24"/>
        </w:rPr>
        <w:t xml:space="preserve">na platformie </w:t>
      </w:r>
      <w:proofErr w:type="spellStart"/>
      <w:r w:rsidR="00F354D9">
        <w:rPr>
          <w:szCs w:val="24"/>
        </w:rPr>
        <w:t>ed</w:t>
      </w:r>
      <w:r w:rsidR="00544CF9" w:rsidRPr="006055E0">
        <w:rPr>
          <w:szCs w:val="24"/>
        </w:rPr>
        <w:t>X</w:t>
      </w:r>
      <w:proofErr w:type="spellEnd"/>
      <w:r w:rsidR="00544CF9" w:rsidRPr="006055E0">
        <w:rPr>
          <w:szCs w:val="24"/>
        </w:rPr>
        <w:t xml:space="preserve"> </w:t>
      </w:r>
      <w:r w:rsidRPr="006055E0">
        <w:rPr>
          <w:szCs w:val="24"/>
        </w:rPr>
        <w:t>przez uczelnie amerykańskie, takie jak MIT i Harvard</w:t>
      </w:r>
      <w:r w:rsidR="00F354D9">
        <w:rPr>
          <w:szCs w:val="24"/>
        </w:rPr>
        <w:t>,</w:t>
      </w:r>
      <w:r w:rsidRPr="006055E0">
        <w:rPr>
          <w:szCs w:val="24"/>
        </w:rPr>
        <w:t xml:space="preserve"> i cieszących się ogromnym zainteresowaniem. Pierwsze</w:t>
      </w:r>
      <w:r w:rsidR="00C9627C">
        <w:rPr>
          <w:szCs w:val="24"/>
        </w:rPr>
        <w:t xml:space="preserve"> takie kursy</w:t>
      </w:r>
      <w:r w:rsidR="00A1487C">
        <w:rPr>
          <w:szCs w:val="24"/>
        </w:rPr>
        <w:t xml:space="preserve"> w ciągu kilku dni funkcjonowania </w:t>
      </w:r>
      <w:r w:rsidRPr="006055E0">
        <w:rPr>
          <w:szCs w:val="24"/>
        </w:rPr>
        <w:lastRenderedPageBreak/>
        <w:t>przyciągnęły</w:t>
      </w:r>
      <w:r w:rsidR="00A1487C">
        <w:rPr>
          <w:szCs w:val="24"/>
        </w:rPr>
        <w:t xml:space="preserve"> aż</w:t>
      </w:r>
      <w:r w:rsidRPr="006055E0">
        <w:rPr>
          <w:szCs w:val="24"/>
        </w:rPr>
        <w:t xml:space="preserve"> 155 tysięcy odbiorców. </w:t>
      </w:r>
      <w:r w:rsidR="00C9627C">
        <w:rPr>
          <w:szCs w:val="24"/>
        </w:rPr>
        <w:t>S</w:t>
      </w:r>
      <w:r w:rsidRPr="006055E0">
        <w:rPr>
          <w:szCs w:val="24"/>
        </w:rPr>
        <w:t xml:space="preserve">tały się okazją do </w:t>
      </w:r>
      <w:r w:rsidR="00F94686">
        <w:rPr>
          <w:szCs w:val="24"/>
        </w:rPr>
        <w:t>promowania</w:t>
      </w:r>
      <w:r w:rsidRPr="006055E0">
        <w:rPr>
          <w:szCs w:val="24"/>
        </w:rPr>
        <w:t xml:space="preserve"> marki uczelni wśród ogromnej rzeszy studentów</w:t>
      </w:r>
      <w:r w:rsidR="00122004" w:rsidRPr="006055E0">
        <w:rPr>
          <w:szCs w:val="24"/>
        </w:rPr>
        <w:t xml:space="preserve"> na całym świecie</w:t>
      </w:r>
      <w:r w:rsidR="00A1487C">
        <w:rPr>
          <w:szCs w:val="24"/>
        </w:rPr>
        <w:t xml:space="preserve"> i przyczyniły się do lepszych wyników rekrutacyjnych </w:t>
      </w:r>
      <w:r w:rsidR="00A7641A">
        <w:rPr>
          <w:szCs w:val="24"/>
        </w:rPr>
        <w:t xml:space="preserve">tych uczelni. Ostatnio </w:t>
      </w:r>
      <w:r w:rsidR="00C9627C">
        <w:rPr>
          <w:szCs w:val="24"/>
        </w:rPr>
        <w:t xml:space="preserve">kursy typu </w:t>
      </w:r>
      <w:r w:rsidR="00A7641A">
        <w:rPr>
          <w:szCs w:val="24"/>
        </w:rPr>
        <w:t>MOOC wykorzystywane są w procesie przygotowania studentów do podjęcia studiów. Od dwóch lat</w:t>
      </w:r>
      <w:r w:rsidR="00544CF9" w:rsidRPr="006055E0">
        <w:rPr>
          <w:szCs w:val="24"/>
        </w:rPr>
        <w:t xml:space="preserve"> najpopularniejszą platformą edukacyjną </w:t>
      </w:r>
      <w:r w:rsidR="00F94686">
        <w:rPr>
          <w:szCs w:val="24"/>
        </w:rPr>
        <w:t>udostępniającą</w:t>
      </w:r>
      <w:r w:rsidR="00544CF9" w:rsidRPr="006055E0">
        <w:rPr>
          <w:szCs w:val="24"/>
        </w:rPr>
        <w:t xml:space="preserve"> </w:t>
      </w:r>
      <w:r w:rsidR="00FE6508">
        <w:rPr>
          <w:szCs w:val="24"/>
        </w:rPr>
        <w:t xml:space="preserve">kursy typu MOOC </w:t>
      </w:r>
      <w:r w:rsidR="00C9627C">
        <w:rPr>
          <w:szCs w:val="24"/>
        </w:rPr>
        <w:t xml:space="preserve">jest </w:t>
      </w:r>
      <w:r w:rsidR="00544CF9" w:rsidRPr="006055E0">
        <w:rPr>
          <w:szCs w:val="24"/>
        </w:rPr>
        <w:t xml:space="preserve">Coursera, </w:t>
      </w:r>
      <w:r w:rsidR="00F94686">
        <w:rPr>
          <w:szCs w:val="24"/>
        </w:rPr>
        <w:t xml:space="preserve">która </w:t>
      </w:r>
      <w:r w:rsidR="00544CF9" w:rsidRPr="006055E0">
        <w:rPr>
          <w:szCs w:val="24"/>
        </w:rPr>
        <w:t>oferuj</w:t>
      </w:r>
      <w:r w:rsidR="00F94686">
        <w:rPr>
          <w:szCs w:val="24"/>
        </w:rPr>
        <w:t>e</w:t>
      </w:r>
      <w:r w:rsidR="00544CF9" w:rsidRPr="006055E0">
        <w:rPr>
          <w:szCs w:val="24"/>
        </w:rPr>
        <w:t xml:space="preserve"> 635 darmowych kursów 108 uczelni</w:t>
      </w:r>
      <w:r w:rsidR="00544CF9" w:rsidRPr="006055E0">
        <w:rPr>
          <w:rStyle w:val="Odwoanieprzypisudolnego"/>
          <w:szCs w:val="24"/>
        </w:rPr>
        <w:footnoteReference w:id="6"/>
      </w:r>
      <w:r w:rsidR="00F94686">
        <w:rPr>
          <w:szCs w:val="24"/>
        </w:rPr>
        <w:t>.</w:t>
      </w:r>
    </w:p>
    <w:p w:rsidR="0002500F" w:rsidRPr="00EE291C" w:rsidRDefault="00EE291C" w:rsidP="00EE291C">
      <w:pPr>
        <w:keepNext/>
        <w:numPr>
          <w:ilvl w:val="1"/>
          <w:numId w:val="0"/>
        </w:numPr>
        <w:tabs>
          <w:tab w:val="num" w:pos="0"/>
        </w:tabs>
        <w:spacing w:before="380" w:after="286" w:line="240" w:lineRule="auto"/>
        <w:ind w:left="828"/>
        <w:outlineLvl w:val="1"/>
        <w:rPr>
          <w:rFonts w:ascii="Times New Roman" w:eastAsia="Times New Roman" w:hAnsi="Times New Roman" w:cs="Times New Roman"/>
          <w:b/>
          <w:sz w:val="24"/>
          <w:szCs w:val="20"/>
          <w:lang w:eastAsia="pl-PL"/>
        </w:rPr>
      </w:pPr>
      <w:r>
        <w:rPr>
          <w:rFonts w:ascii="Times New Roman" w:eastAsia="Times New Roman" w:hAnsi="Times New Roman" w:cs="Times New Roman"/>
          <w:b/>
          <w:sz w:val="24"/>
          <w:szCs w:val="20"/>
          <w:lang w:eastAsia="pl-PL"/>
        </w:rPr>
        <w:t xml:space="preserve">3.4. </w:t>
      </w:r>
      <w:r w:rsidR="00AB77A3" w:rsidRPr="00EE291C">
        <w:rPr>
          <w:rFonts w:ascii="Times New Roman" w:eastAsia="Times New Roman" w:hAnsi="Times New Roman" w:cs="Times New Roman"/>
          <w:b/>
          <w:sz w:val="24"/>
          <w:szCs w:val="20"/>
          <w:lang w:eastAsia="pl-PL"/>
        </w:rPr>
        <w:t>Kampusy zagraniczne (off-</w:t>
      </w:r>
      <w:proofErr w:type="spellStart"/>
      <w:r w:rsidR="00AB77A3" w:rsidRPr="00EE291C">
        <w:rPr>
          <w:rFonts w:ascii="Times New Roman" w:eastAsia="Times New Roman" w:hAnsi="Times New Roman" w:cs="Times New Roman"/>
          <w:b/>
          <w:sz w:val="24"/>
          <w:szCs w:val="20"/>
          <w:lang w:eastAsia="pl-PL"/>
        </w:rPr>
        <w:t>shore</w:t>
      </w:r>
      <w:proofErr w:type="spellEnd"/>
      <w:r w:rsidR="00AB77A3" w:rsidRPr="00EE291C">
        <w:rPr>
          <w:rFonts w:ascii="Times New Roman" w:eastAsia="Times New Roman" w:hAnsi="Times New Roman" w:cs="Times New Roman"/>
          <w:b/>
          <w:sz w:val="24"/>
          <w:szCs w:val="20"/>
          <w:lang w:eastAsia="pl-PL"/>
        </w:rPr>
        <w:t xml:space="preserve"> lub </w:t>
      </w:r>
      <w:proofErr w:type="spellStart"/>
      <w:r w:rsidR="00AB77A3" w:rsidRPr="00EE291C">
        <w:rPr>
          <w:rFonts w:ascii="Times New Roman" w:eastAsia="Times New Roman" w:hAnsi="Times New Roman" w:cs="Times New Roman"/>
          <w:b/>
          <w:sz w:val="24"/>
          <w:szCs w:val="20"/>
          <w:lang w:eastAsia="pl-PL"/>
        </w:rPr>
        <w:t>overseas</w:t>
      </w:r>
      <w:proofErr w:type="spellEnd"/>
      <w:r w:rsidR="00AB77A3" w:rsidRPr="00EE291C">
        <w:rPr>
          <w:rFonts w:ascii="Times New Roman" w:eastAsia="Times New Roman" w:hAnsi="Times New Roman" w:cs="Times New Roman"/>
          <w:b/>
          <w:sz w:val="24"/>
          <w:szCs w:val="20"/>
          <w:lang w:eastAsia="pl-PL"/>
        </w:rPr>
        <w:t>)</w:t>
      </w:r>
    </w:p>
    <w:p w:rsidR="00B7157A" w:rsidRPr="00EE291C" w:rsidRDefault="0037648B" w:rsidP="00EE291C">
      <w:pPr>
        <w:pStyle w:val="tekstpods"/>
        <w:rPr>
          <w:szCs w:val="24"/>
        </w:rPr>
      </w:pPr>
      <w:r w:rsidRPr="006055E0">
        <w:rPr>
          <w:szCs w:val="24"/>
        </w:rPr>
        <w:t>Pierwsze</w:t>
      </w:r>
      <w:r w:rsidR="00D02C7D">
        <w:rPr>
          <w:szCs w:val="24"/>
        </w:rPr>
        <w:t xml:space="preserve"> kampusy </w:t>
      </w:r>
      <w:r w:rsidR="005610CB" w:rsidRPr="005610CB">
        <w:rPr>
          <w:i/>
          <w:szCs w:val="24"/>
        </w:rPr>
        <w:t>off-</w:t>
      </w:r>
      <w:proofErr w:type="spellStart"/>
      <w:r w:rsidR="005610CB" w:rsidRPr="005610CB">
        <w:rPr>
          <w:i/>
          <w:szCs w:val="24"/>
        </w:rPr>
        <w:t>shore</w:t>
      </w:r>
      <w:proofErr w:type="spellEnd"/>
      <w:r w:rsidR="00A1487C">
        <w:rPr>
          <w:rStyle w:val="Odwoanieprzypisudolnego"/>
          <w:szCs w:val="24"/>
        </w:rPr>
        <w:footnoteReference w:id="7"/>
      </w:r>
      <w:r w:rsidRPr="006055E0">
        <w:rPr>
          <w:szCs w:val="24"/>
        </w:rPr>
        <w:t xml:space="preserve"> powstały już w latach 80</w:t>
      </w:r>
      <w:r w:rsidR="00D02C7D">
        <w:rPr>
          <w:szCs w:val="24"/>
        </w:rPr>
        <w:t>.</w:t>
      </w:r>
      <w:r w:rsidRPr="006055E0">
        <w:rPr>
          <w:szCs w:val="24"/>
        </w:rPr>
        <w:t xml:space="preserve"> i tworzone były głównie przez uczelnie amerykańskie, początkowo w Japonii, a potem w Europie i </w:t>
      </w:r>
      <w:r w:rsidR="00D02C7D">
        <w:rPr>
          <w:szCs w:val="24"/>
        </w:rPr>
        <w:t xml:space="preserve">w </w:t>
      </w:r>
      <w:r w:rsidRPr="006055E0">
        <w:rPr>
          <w:szCs w:val="24"/>
        </w:rPr>
        <w:t xml:space="preserve">Azji. Tendencja </w:t>
      </w:r>
      <w:r w:rsidR="009E3A50">
        <w:rPr>
          <w:szCs w:val="24"/>
        </w:rPr>
        <w:t xml:space="preserve">do tworzenia takich kampusów </w:t>
      </w:r>
      <w:r w:rsidRPr="006055E0">
        <w:rPr>
          <w:szCs w:val="24"/>
        </w:rPr>
        <w:t>bardzo szybko rozprzestrzeniła się na inne kraje, zwłaszcza Wielką Brytanię</w:t>
      </w:r>
      <w:r w:rsidR="004B1F2D" w:rsidRPr="006055E0">
        <w:rPr>
          <w:szCs w:val="24"/>
        </w:rPr>
        <w:t xml:space="preserve"> i Australię</w:t>
      </w:r>
      <w:r w:rsidRPr="006055E0">
        <w:rPr>
          <w:szCs w:val="24"/>
        </w:rPr>
        <w:t xml:space="preserve">, </w:t>
      </w:r>
      <w:r w:rsidR="009E3A50">
        <w:rPr>
          <w:szCs w:val="24"/>
        </w:rPr>
        <w:t>ze względu na ich nieograniczone możliwości kształcenia w</w:t>
      </w:r>
      <w:r w:rsidRPr="006055E0">
        <w:rPr>
          <w:szCs w:val="24"/>
        </w:rPr>
        <w:t xml:space="preserve"> języku angielskim. U podstaw działań </w:t>
      </w:r>
      <w:r w:rsidR="00533E1E">
        <w:rPr>
          <w:szCs w:val="24"/>
        </w:rPr>
        <w:t xml:space="preserve">związanych z budowaniem zamiejscowych kampusów </w:t>
      </w:r>
      <w:r w:rsidRPr="006055E0">
        <w:rPr>
          <w:szCs w:val="24"/>
        </w:rPr>
        <w:t>znajduje się chęć zwiększenia międzynarodowego pola oddziaływania oraz prestiżu uczelni</w:t>
      </w:r>
      <w:r w:rsidR="007E1162">
        <w:rPr>
          <w:szCs w:val="24"/>
        </w:rPr>
        <w:t xml:space="preserve"> </w:t>
      </w:r>
      <w:r w:rsidRPr="006055E0">
        <w:rPr>
          <w:szCs w:val="24"/>
        </w:rPr>
        <w:t xml:space="preserve">matki, a co za tym idzie </w:t>
      </w:r>
      <w:r w:rsidR="007E1162">
        <w:rPr>
          <w:szCs w:val="24"/>
        </w:rPr>
        <w:t xml:space="preserve">– </w:t>
      </w:r>
      <w:r w:rsidRPr="006055E0">
        <w:rPr>
          <w:szCs w:val="24"/>
        </w:rPr>
        <w:t xml:space="preserve">stworzenie przewagi konkurencyjnej na rynku rodzimym i docelowym. Nie zawsze </w:t>
      </w:r>
      <w:r w:rsidR="00706AC8">
        <w:rPr>
          <w:szCs w:val="24"/>
        </w:rPr>
        <w:t xml:space="preserve">jednak </w:t>
      </w:r>
      <w:r w:rsidRPr="006055E0">
        <w:rPr>
          <w:szCs w:val="24"/>
        </w:rPr>
        <w:t xml:space="preserve">tego typu </w:t>
      </w:r>
      <w:r w:rsidR="007E1162">
        <w:rPr>
          <w:szCs w:val="24"/>
        </w:rPr>
        <w:t>próby</w:t>
      </w:r>
      <w:r w:rsidRPr="006055E0">
        <w:rPr>
          <w:szCs w:val="24"/>
        </w:rPr>
        <w:t xml:space="preserve"> umiędzynarodowienia kończ</w:t>
      </w:r>
      <w:r w:rsidR="007E1162">
        <w:rPr>
          <w:szCs w:val="24"/>
        </w:rPr>
        <w:t>ą</w:t>
      </w:r>
      <w:r w:rsidRPr="006055E0">
        <w:rPr>
          <w:szCs w:val="24"/>
        </w:rPr>
        <w:t xml:space="preserve"> się sukcesem</w:t>
      </w:r>
      <w:r w:rsidR="00706AC8">
        <w:rPr>
          <w:szCs w:val="24"/>
        </w:rPr>
        <w:t xml:space="preserve"> –</w:t>
      </w:r>
      <w:r w:rsidR="00706AC8" w:rsidRPr="006055E0">
        <w:rPr>
          <w:szCs w:val="24"/>
        </w:rPr>
        <w:t xml:space="preserve"> </w:t>
      </w:r>
      <w:r w:rsidRPr="006055E0">
        <w:rPr>
          <w:szCs w:val="24"/>
        </w:rPr>
        <w:t xml:space="preserve">w ostatnich trzydziestu latach nie brakowało </w:t>
      </w:r>
      <w:r w:rsidR="004B1F2D" w:rsidRPr="006055E0">
        <w:rPr>
          <w:szCs w:val="24"/>
        </w:rPr>
        <w:t>przykładów porażek</w:t>
      </w:r>
      <w:r w:rsidR="00706AC8">
        <w:rPr>
          <w:szCs w:val="24"/>
        </w:rPr>
        <w:t xml:space="preserve"> </w:t>
      </w:r>
      <w:r w:rsidR="004B1F2D" w:rsidRPr="006055E0">
        <w:rPr>
          <w:szCs w:val="24"/>
        </w:rPr>
        <w:t>z uwagi na często zbyt wysoki koszt inwestycji czy przeszacowanie możliwych do osiągnięcia korzyści finansowych. W niektórych</w:t>
      </w:r>
      <w:r w:rsidR="009D016D">
        <w:rPr>
          <w:szCs w:val="24"/>
        </w:rPr>
        <w:t xml:space="preserve"> krajach, m.in. w Katarze,</w:t>
      </w:r>
      <w:r w:rsidR="004B1F2D" w:rsidRPr="006055E0">
        <w:rPr>
          <w:szCs w:val="24"/>
        </w:rPr>
        <w:t xml:space="preserve"> </w:t>
      </w:r>
      <w:r w:rsidR="009E3A50">
        <w:rPr>
          <w:szCs w:val="24"/>
        </w:rPr>
        <w:t>chętne do utworzenia kampusów zamiejscowych uczelnie z innych państw mogą</w:t>
      </w:r>
      <w:r w:rsidR="004B1F2D" w:rsidRPr="006055E0">
        <w:rPr>
          <w:szCs w:val="24"/>
        </w:rPr>
        <w:t xml:space="preserve"> liczyć na wsparcie rządowe</w:t>
      </w:r>
      <w:r w:rsidR="003823F4" w:rsidRPr="006055E0">
        <w:rPr>
          <w:szCs w:val="24"/>
        </w:rPr>
        <w:t>. Jako przykład</w:t>
      </w:r>
      <w:r w:rsidR="006664B8" w:rsidRPr="006055E0">
        <w:rPr>
          <w:szCs w:val="24"/>
        </w:rPr>
        <w:t xml:space="preserve"> przemyślan</w:t>
      </w:r>
      <w:r w:rsidR="009D016D">
        <w:rPr>
          <w:szCs w:val="24"/>
        </w:rPr>
        <w:t>ej</w:t>
      </w:r>
      <w:r w:rsidR="006664B8" w:rsidRPr="006055E0">
        <w:rPr>
          <w:szCs w:val="24"/>
        </w:rPr>
        <w:t xml:space="preserve"> inicjatyw</w:t>
      </w:r>
      <w:r w:rsidR="009D016D">
        <w:rPr>
          <w:szCs w:val="24"/>
        </w:rPr>
        <w:t>y</w:t>
      </w:r>
      <w:r w:rsidR="003823F4" w:rsidRPr="006055E0">
        <w:rPr>
          <w:szCs w:val="24"/>
        </w:rPr>
        <w:t xml:space="preserve"> można podać </w:t>
      </w:r>
      <w:r w:rsidR="009D016D">
        <w:rPr>
          <w:szCs w:val="24"/>
        </w:rPr>
        <w:t xml:space="preserve">przedsięwzięcie </w:t>
      </w:r>
      <w:r w:rsidR="003823F4" w:rsidRPr="006055E0">
        <w:rPr>
          <w:szCs w:val="24"/>
        </w:rPr>
        <w:t>Uni</w:t>
      </w:r>
      <w:r w:rsidR="009D016D">
        <w:rPr>
          <w:szCs w:val="24"/>
        </w:rPr>
        <w:t>wersytetu</w:t>
      </w:r>
      <w:r w:rsidR="003823F4" w:rsidRPr="006055E0">
        <w:rPr>
          <w:szCs w:val="24"/>
        </w:rPr>
        <w:t xml:space="preserve"> </w:t>
      </w:r>
      <w:r w:rsidR="009D016D">
        <w:rPr>
          <w:szCs w:val="24"/>
        </w:rPr>
        <w:t>w</w:t>
      </w:r>
      <w:r w:rsidR="003823F4" w:rsidRPr="006055E0">
        <w:rPr>
          <w:szCs w:val="24"/>
        </w:rPr>
        <w:t xml:space="preserve"> Nottingham, </w:t>
      </w:r>
      <w:r w:rsidR="009D016D">
        <w:rPr>
          <w:szCs w:val="24"/>
        </w:rPr>
        <w:t xml:space="preserve">który </w:t>
      </w:r>
      <w:r w:rsidR="002C1C0C">
        <w:rPr>
          <w:szCs w:val="24"/>
        </w:rPr>
        <w:t>utworzył</w:t>
      </w:r>
      <w:r w:rsidR="003823F4" w:rsidRPr="006055E0">
        <w:rPr>
          <w:szCs w:val="24"/>
        </w:rPr>
        <w:t xml:space="preserve"> swój kampus w Malezji. </w:t>
      </w:r>
      <w:r w:rsidR="002C1C0C">
        <w:rPr>
          <w:szCs w:val="24"/>
        </w:rPr>
        <w:t>W dalszej perspektywie kraj ten</w:t>
      </w:r>
      <w:r w:rsidR="006664B8" w:rsidRPr="006055E0">
        <w:rPr>
          <w:szCs w:val="24"/>
        </w:rPr>
        <w:t xml:space="preserve"> przyciągn</w:t>
      </w:r>
      <w:r w:rsidR="002C1C0C">
        <w:rPr>
          <w:szCs w:val="24"/>
        </w:rPr>
        <w:t>ą</w:t>
      </w:r>
      <w:r w:rsidR="006664B8" w:rsidRPr="006055E0">
        <w:rPr>
          <w:szCs w:val="24"/>
        </w:rPr>
        <w:t>ł z sukcesem</w:t>
      </w:r>
      <w:r w:rsidR="003823F4" w:rsidRPr="006055E0">
        <w:rPr>
          <w:szCs w:val="24"/>
        </w:rPr>
        <w:t xml:space="preserve"> również oddziały uniwersytetów chińskich, takich jak Xiamen cz</w:t>
      </w:r>
      <w:r w:rsidR="003C6B71" w:rsidRPr="006055E0">
        <w:rPr>
          <w:szCs w:val="24"/>
        </w:rPr>
        <w:t xml:space="preserve">y Shanghai </w:t>
      </w:r>
      <w:proofErr w:type="spellStart"/>
      <w:r w:rsidR="003C6B71" w:rsidRPr="006055E0">
        <w:rPr>
          <w:szCs w:val="24"/>
        </w:rPr>
        <w:t>Jiao</w:t>
      </w:r>
      <w:proofErr w:type="spellEnd"/>
      <w:r w:rsidR="003C6B71" w:rsidRPr="006055E0">
        <w:rPr>
          <w:szCs w:val="24"/>
        </w:rPr>
        <w:t xml:space="preserve"> Tong University</w:t>
      </w:r>
      <w:r w:rsidR="002C1C0C">
        <w:rPr>
          <w:szCs w:val="24"/>
        </w:rPr>
        <w:t>.</w:t>
      </w:r>
      <w:r w:rsidR="00BB4838" w:rsidRPr="006055E0">
        <w:rPr>
          <w:szCs w:val="24"/>
        </w:rPr>
        <w:t xml:space="preserve"> Kampusy</w:t>
      </w:r>
      <w:r w:rsidR="006664B8" w:rsidRPr="006055E0">
        <w:rPr>
          <w:szCs w:val="24"/>
        </w:rPr>
        <w:t xml:space="preserve"> tego typu zyskały miano International </w:t>
      </w:r>
      <w:proofErr w:type="spellStart"/>
      <w:r w:rsidR="006664B8" w:rsidRPr="006055E0">
        <w:rPr>
          <w:szCs w:val="24"/>
        </w:rPr>
        <w:t>Branch</w:t>
      </w:r>
      <w:proofErr w:type="spellEnd"/>
      <w:r w:rsidR="006664B8" w:rsidRPr="006055E0">
        <w:rPr>
          <w:szCs w:val="24"/>
        </w:rPr>
        <w:t xml:space="preserve"> </w:t>
      </w:r>
      <w:proofErr w:type="spellStart"/>
      <w:r w:rsidR="006664B8" w:rsidRPr="006055E0">
        <w:rPr>
          <w:szCs w:val="24"/>
        </w:rPr>
        <w:t>Campuses</w:t>
      </w:r>
      <w:proofErr w:type="spellEnd"/>
      <w:r w:rsidR="006664B8" w:rsidRPr="006055E0">
        <w:rPr>
          <w:szCs w:val="24"/>
        </w:rPr>
        <w:t xml:space="preserve"> (</w:t>
      </w:r>
      <w:proofErr w:type="spellStart"/>
      <w:r w:rsidR="006664B8" w:rsidRPr="006055E0">
        <w:rPr>
          <w:szCs w:val="24"/>
        </w:rPr>
        <w:t>IBCs</w:t>
      </w:r>
      <w:proofErr w:type="spellEnd"/>
      <w:r w:rsidR="006664B8" w:rsidRPr="006055E0">
        <w:rPr>
          <w:szCs w:val="24"/>
        </w:rPr>
        <w:t>)</w:t>
      </w:r>
      <w:r w:rsidR="00997C2D" w:rsidRPr="006055E0">
        <w:rPr>
          <w:szCs w:val="24"/>
        </w:rPr>
        <w:t>. W marcu 2014</w:t>
      </w:r>
      <w:r w:rsidR="009D016D">
        <w:rPr>
          <w:szCs w:val="24"/>
        </w:rPr>
        <w:t xml:space="preserve"> r. na</w:t>
      </w:r>
      <w:r w:rsidR="00997C2D" w:rsidRPr="006055E0">
        <w:rPr>
          <w:szCs w:val="24"/>
        </w:rPr>
        <w:t xml:space="preserve"> świ</w:t>
      </w:r>
      <w:r w:rsidR="002B1BDB">
        <w:rPr>
          <w:szCs w:val="24"/>
        </w:rPr>
        <w:t>e</w:t>
      </w:r>
      <w:r w:rsidR="009D016D">
        <w:rPr>
          <w:szCs w:val="24"/>
        </w:rPr>
        <w:t>cie istniały</w:t>
      </w:r>
      <w:r w:rsidR="00997C2D" w:rsidRPr="006055E0">
        <w:rPr>
          <w:szCs w:val="24"/>
        </w:rPr>
        <w:t xml:space="preserve"> 203 </w:t>
      </w:r>
      <w:proofErr w:type="spellStart"/>
      <w:r w:rsidR="00997C2D" w:rsidRPr="006055E0">
        <w:rPr>
          <w:szCs w:val="24"/>
        </w:rPr>
        <w:t>IBCs</w:t>
      </w:r>
      <w:proofErr w:type="spellEnd"/>
      <w:r w:rsidR="00997C2D" w:rsidRPr="006055E0">
        <w:rPr>
          <w:rStyle w:val="Odwoanieprzypisudolnego"/>
          <w:szCs w:val="24"/>
        </w:rPr>
        <w:footnoteReference w:id="8"/>
      </w:r>
      <w:r w:rsidR="009D016D">
        <w:rPr>
          <w:szCs w:val="24"/>
        </w:rPr>
        <w:t>.</w:t>
      </w:r>
      <w:r w:rsidR="00997C2D" w:rsidRPr="006055E0">
        <w:rPr>
          <w:szCs w:val="24"/>
        </w:rPr>
        <w:t xml:space="preserve"> Ministerstwo Spraw Zagranicznych oraz Handlu Australii, </w:t>
      </w:r>
      <w:r w:rsidR="002B1BDB">
        <w:rPr>
          <w:szCs w:val="24"/>
        </w:rPr>
        <w:t xml:space="preserve">jednego z najbardziej aktywnych na tym polu krajów, niedawno </w:t>
      </w:r>
      <w:r w:rsidR="00997C2D" w:rsidRPr="006055E0">
        <w:rPr>
          <w:szCs w:val="24"/>
        </w:rPr>
        <w:t xml:space="preserve">ogłosiło, że edukacja stała się </w:t>
      </w:r>
      <w:r w:rsidR="002B1BDB">
        <w:rPr>
          <w:szCs w:val="24"/>
        </w:rPr>
        <w:t xml:space="preserve">tam </w:t>
      </w:r>
      <w:r w:rsidR="00997C2D" w:rsidRPr="006055E0">
        <w:rPr>
          <w:szCs w:val="24"/>
        </w:rPr>
        <w:t>wiodącą usługą eksportową i w 2012 roku osią</w:t>
      </w:r>
      <w:r w:rsidR="00995783" w:rsidRPr="006055E0">
        <w:rPr>
          <w:szCs w:val="24"/>
        </w:rPr>
        <w:t>gnęła wartość ponad 14 milionów AUD</w:t>
      </w:r>
      <w:r w:rsidR="00995783" w:rsidRPr="006055E0">
        <w:rPr>
          <w:rStyle w:val="Odwoanieprzypisudolnego"/>
          <w:szCs w:val="24"/>
        </w:rPr>
        <w:footnoteReference w:id="9"/>
      </w:r>
      <w:r w:rsidR="00731502">
        <w:rPr>
          <w:szCs w:val="24"/>
        </w:rPr>
        <w:t>.</w:t>
      </w:r>
    </w:p>
    <w:p w:rsidR="004733FA" w:rsidRPr="00EE291C" w:rsidRDefault="00D82038" w:rsidP="00EE291C">
      <w:pPr>
        <w:pStyle w:val="Nagwek1"/>
        <w:rPr>
          <w:szCs w:val="29"/>
        </w:rPr>
      </w:pPr>
      <w:r w:rsidRPr="00EE291C">
        <w:rPr>
          <w:szCs w:val="29"/>
        </w:rPr>
        <w:lastRenderedPageBreak/>
        <w:t>Rola akredytacji</w:t>
      </w:r>
      <w:r w:rsidR="003422CB" w:rsidRPr="00EE291C">
        <w:rPr>
          <w:szCs w:val="29"/>
        </w:rPr>
        <w:t xml:space="preserve"> i rankingów</w:t>
      </w:r>
      <w:r w:rsidRPr="00EE291C">
        <w:rPr>
          <w:szCs w:val="29"/>
        </w:rPr>
        <w:t xml:space="preserve"> w internacjonalizacji szkolnictwa wyższego</w:t>
      </w:r>
    </w:p>
    <w:p w:rsidR="00EE291C" w:rsidRDefault="00145CD2" w:rsidP="00EE291C">
      <w:pPr>
        <w:pStyle w:val="tekstpods"/>
      </w:pPr>
      <w:r w:rsidRPr="00EE291C">
        <w:t>Globalizacja niesie za sobą wiele szans dla szkolnictwa wyższego, ale również wiele zagrożeń</w:t>
      </w:r>
      <w:r w:rsidR="00A46BC4" w:rsidRPr="00EE291C">
        <w:t xml:space="preserve"> związanych</w:t>
      </w:r>
      <w:r w:rsidR="005320F3" w:rsidRPr="00EE291C">
        <w:t xml:space="preserve"> m</w:t>
      </w:r>
      <w:r w:rsidR="00F27B2B" w:rsidRPr="00EE291C">
        <w:t>.</w:t>
      </w:r>
      <w:r w:rsidR="005320F3" w:rsidRPr="00EE291C">
        <w:t>in</w:t>
      </w:r>
      <w:r w:rsidR="00F27B2B" w:rsidRPr="00EE291C">
        <w:t>.</w:t>
      </w:r>
      <w:r w:rsidR="00A46BC4" w:rsidRPr="00EE291C">
        <w:t xml:space="preserve"> z koniecznością zapewnienia odpowiedniej jakości kształcenia migrującym studentom. Oczywiście nie jest to odpowiedzialność wyłącznie przed studentami, ale również </w:t>
      </w:r>
      <w:r w:rsidR="00F27B2B" w:rsidRPr="00EE291C">
        <w:t xml:space="preserve">przed </w:t>
      </w:r>
      <w:r w:rsidR="00A46BC4" w:rsidRPr="00EE291C">
        <w:t>tymi, którzy będą ich w przyszłości zatrudniać</w:t>
      </w:r>
      <w:r w:rsidR="002B002A" w:rsidRPr="00EE291C">
        <w:t xml:space="preserve"> </w:t>
      </w:r>
      <w:r w:rsidR="00A46BC4" w:rsidRPr="00EE291C">
        <w:t>czy z nimi współpracować.</w:t>
      </w:r>
    </w:p>
    <w:p w:rsidR="00EE291C" w:rsidRDefault="00B57746" w:rsidP="00EE291C">
      <w:pPr>
        <w:pStyle w:val="tekstpods"/>
        <w:rPr>
          <w:szCs w:val="24"/>
        </w:rPr>
      </w:pPr>
      <w:r w:rsidRPr="00EE291C">
        <w:t>W ostatnich dziesięcioleciach b</w:t>
      </w:r>
      <w:r w:rsidR="00A46BC4" w:rsidRPr="00EE291C">
        <w:t xml:space="preserve">ardzo ważną inicjatywę w tym zakresie </w:t>
      </w:r>
      <w:r w:rsidR="002D1F80" w:rsidRPr="00EE291C">
        <w:t>podjęło UNESCO</w:t>
      </w:r>
      <w:r w:rsidR="00F27B2B" w:rsidRPr="00EE291C">
        <w:t>,</w:t>
      </w:r>
      <w:r w:rsidR="002D1F80" w:rsidRPr="00EE291C">
        <w:t xml:space="preserve"> opracowując wytyczne dla kształcenia transgranicznego</w:t>
      </w:r>
      <w:r w:rsidR="002B1BDB" w:rsidRPr="00EE291C">
        <w:t>, przedstawione</w:t>
      </w:r>
      <w:r w:rsidR="002D1F80" w:rsidRPr="00EE291C">
        <w:t xml:space="preserve"> po raz pierwszy na konferencji w 1998 r</w:t>
      </w:r>
      <w:r w:rsidR="00F27B2B" w:rsidRPr="00EE291C">
        <w:t>oku</w:t>
      </w:r>
      <w:r w:rsidR="002D1F80" w:rsidRPr="00EE291C">
        <w:t>, a potem w 2003</w:t>
      </w:r>
      <w:r w:rsidR="00F27B2B" w:rsidRPr="00EE291C">
        <w:t xml:space="preserve"> roku</w:t>
      </w:r>
      <w:r w:rsidR="002D1F80" w:rsidRPr="00EE291C">
        <w:t>. Nast</w:t>
      </w:r>
      <w:r w:rsidR="005320F3" w:rsidRPr="00EE291C">
        <w:t>ępny projekt wytycznych pojawił</w:t>
      </w:r>
      <w:r w:rsidR="002D1F80" w:rsidRPr="00EE291C">
        <w:t xml:space="preserve"> się 2004 r. i na tym etapie do współpracy nad ich wdrożeniem włączyło się również OECD. Wytyczne dotyczyły głównie ochrony studentów przed usługami edukacyjnymi niskiej jakości, zapewnienia stabilności kształcenia, współpracy międzynarodowej pomiędzy akredytacyjnymi agencjami narodowymi</w:t>
      </w:r>
      <w:r w:rsidR="00F27B2B" w:rsidRPr="00EE291C">
        <w:t xml:space="preserve"> </w:t>
      </w:r>
      <w:r w:rsidR="002D1F80" w:rsidRPr="00EE291C">
        <w:t>oraz minimalizacji zjawiska „drenażu umysłów”</w:t>
      </w:r>
      <w:r w:rsidR="002D1F80" w:rsidRPr="006055E0">
        <w:rPr>
          <w:szCs w:val="24"/>
        </w:rPr>
        <w:t xml:space="preserve"> (</w:t>
      </w:r>
      <w:proofErr w:type="spellStart"/>
      <w:r w:rsidR="004733FA" w:rsidRPr="002B1BDB">
        <w:rPr>
          <w:i/>
          <w:szCs w:val="24"/>
        </w:rPr>
        <w:t>brain</w:t>
      </w:r>
      <w:proofErr w:type="spellEnd"/>
      <w:r w:rsidR="004733FA" w:rsidRPr="002B1BDB">
        <w:rPr>
          <w:i/>
          <w:szCs w:val="24"/>
        </w:rPr>
        <w:t xml:space="preserve"> </w:t>
      </w:r>
      <w:proofErr w:type="spellStart"/>
      <w:r w:rsidR="004733FA" w:rsidRPr="002B1BDB">
        <w:rPr>
          <w:i/>
          <w:szCs w:val="24"/>
        </w:rPr>
        <w:t>drain</w:t>
      </w:r>
      <w:proofErr w:type="spellEnd"/>
      <w:r w:rsidR="002D1F80" w:rsidRPr="006055E0">
        <w:rPr>
          <w:szCs w:val="24"/>
        </w:rPr>
        <w:t>).</w:t>
      </w:r>
      <w:r w:rsidR="005320F3" w:rsidRPr="006055E0">
        <w:rPr>
          <w:szCs w:val="24"/>
        </w:rPr>
        <w:t xml:space="preserve"> Sposobem na z</w:t>
      </w:r>
      <w:r w:rsidR="00F27B2B">
        <w:rPr>
          <w:szCs w:val="24"/>
        </w:rPr>
        <w:t>agwarantowanie</w:t>
      </w:r>
      <w:r w:rsidR="005320F3" w:rsidRPr="006055E0">
        <w:rPr>
          <w:szCs w:val="24"/>
        </w:rPr>
        <w:t xml:space="preserve"> odpowiedniej jakości kształcenia</w:t>
      </w:r>
      <w:r w:rsidR="002B1BDB">
        <w:rPr>
          <w:szCs w:val="24"/>
        </w:rPr>
        <w:t xml:space="preserve"> stało się niewątpliwie </w:t>
      </w:r>
      <w:r w:rsidR="005320F3" w:rsidRPr="006055E0">
        <w:rPr>
          <w:szCs w:val="24"/>
        </w:rPr>
        <w:t xml:space="preserve">zdobywanie akredytacji, przy czym w przypadku internacjonalizacji najbardziej </w:t>
      </w:r>
      <w:r w:rsidR="00CF7340" w:rsidRPr="006055E0">
        <w:rPr>
          <w:szCs w:val="24"/>
        </w:rPr>
        <w:t>pożądane są akredytacje międzynarodowe.</w:t>
      </w:r>
    </w:p>
    <w:p w:rsidR="00EE291C" w:rsidRDefault="00CF7340" w:rsidP="00EE291C">
      <w:pPr>
        <w:pStyle w:val="tekstpods"/>
        <w:rPr>
          <w:bCs/>
          <w:szCs w:val="24"/>
        </w:rPr>
      </w:pPr>
      <w:r w:rsidRPr="006055E0">
        <w:rPr>
          <w:szCs w:val="24"/>
        </w:rPr>
        <w:t>N</w:t>
      </w:r>
      <w:r w:rsidR="005320F3" w:rsidRPr="006055E0">
        <w:rPr>
          <w:szCs w:val="24"/>
        </w:rPr>
        <w:t>ajbardziej zainteresowan</w:t>
      </w:r>
      <w:r w:rsidR="00F27B2B">
        <w:rPr>
          <w:szCs w:val="24"/>
        </w:rPr>
        <w:t>e</w:t>
      </w:r>
      <w:r w:rsidR="005320F3" w:rsidRPr="006055E0">
        <w:rPr>
          <w:szCs w:val="24"/>
        </w:rPr>
        <w:t xml:space="preserve"> uzyskaniem międzynarodowego uznania, a co za tym idzie rozpoznawalności i wiarygodności marki, są same uczelnie. Szczególnie aktywn</w:t>
      </w:r>
      <w:r w:rsidR="00E236AB">
        <w:rPr>
          <w:szCs w:val="24"/>
        </w:rPr>
        <w:t>e</w:t>
      </w:r>
      <w:r w:rsidR="005320F3" w:rsidRPr="006055E0">
        <w:rPr>
          <w:szCs w:val="24"/>
        </w:rPr>
        <w:t xml:space="preserve"> na tym polu są </w:t>
      </w:r>
      <w:r w:rsidR="008958FA">
        <w:rPr>
          <w:szCs w:val="24"/>
        </w:rPr>
        <w:t xml:space="preserve">placówki </w:t>
      </w:r>
      <w:r w:rsidR="005320F3" w:rsidRPr="006055E0">
        <w:rPr>
          <w:szCs w:val="24"/>
        </w:rPr>
        <w:t xml:space="preserve">kształcące w dziedzinie zarządzania, czyli szkoły biznesu, zwłaszcza te prywatne lub działające na bardzo konkurencyjnym rynku. Dotyczy to na przykład rynku </w:t>
      </w:r>
      <w:r w:rsidRPr="006055E0">
        <w:rPr>
          <w:szCs w:val="24"/>
        </w:rPr>
        <w:t xml:space="preserve">wyższych szkół biznesu we Francji, niegdyś tworów </w:t>
      </w:r>
      <w:r w:rsidR="00E236AB">
        <w:rPr>
          <w:szCs w:val="24"/>
        </w:rPr>
        <w:t>pół</w:t>
      </w:r>
      <w:r w:rsidRPr="006055E0">
        <w:rPr>
          <w:szCs w:val="24"/>
        </w:rPr>
        <w:t>prywatnych</w:t>
      </w:r>
      <w:r w:rsidR="00EF7EAA" w:rsidRPr="006055E0">
        <w:rPr>
          <w:szCs w:val="24"/>
        </w:rPr>
        <w:t xml:space="preserve"> </w:t>
      </w:r>
      <w:r w:rsidR="008958FA">
        <w:rPr>
          <w:szCs w:val="24"/>
        </w:rPr>
        <w:t xml:space="preserve">funkcjonujących </w:t>
      </w:r>
      <w:r w:rsidR="00EF7EAA" w:rsidRPr="006055E0">
        <w:rPr>
          <w:szCs w:val="24"/>
        </w:rPr>
        <w:t xml:space="preserve">w ramach tzw. </w:t>
      </w:r>
      <w:proofErr w:type="spellStart"/>
      <w:r w:rsidR="00EF7EAA" w:rsidRPr="006055E0">
        <w:rPr>
          <w:i/>
          <w:szCs w:val="24"/>
        </w:rPr>
        <w:t>grandes</w:t>
      </w:r>
      <w:proofErr w:type="spellEnd"/>
      <w:r w:rsidR="00EF7EAA" w:rsidRPr="006055E0">
        <w:rPr>
          <w:i/>
          <w:szCs w:val="24"/>
        </w:rPr>
        <w:t xml:space="preserve"> </w:t>
      </w:r>
      <w:proofErr w:type="spellStart"/>
      <w:r w:rsidR="00EF7EAA" w:rsidRPr="006055E0">
        <w:rPr>
          <w:i/>
          <w:szCs w:val="24"/>
        </w:rPr>
        <w:t>ecoles</w:t>
      </w:r>
      <w:proofErr w:type="spellEnd"/>
      <w:r w:rsidRPr="006055E0">
        <w:rPr>
          <w:szCs w:val="24"/>
        </w:rPr>
        <w:t xml:space="preserve">, gdyż zarządzanych przez izby przemysłowo-handlowe w poszczególnych regionach Francji, </w:t>
      </w:r>
      <w:r w:rsidR="00731502">
        <w:rPr>
          <w:szCs w:val="24"/>
        </w:rPr>
        <w:t xml:space="preserve">a </w:t>
      </w:r>
      <w:r w:rsidRPr="006055E0">
        <w:rPr>
          <w:szCs w:val="24"/>
        </w:rPr>
        <w:t>dzisiaj często już niezależn</w:t>
      </w:r>
      <w:r w:rsidR="00731502">
        <w:rPr>
          <w:szCs w:val="24"/>
        </w:rPr>
        <w:t>ych</w:t>
      </w:r>
      <w:r w:rsidRPr="006055E0">
        <w:rPr>
          <w:szCs w:val="24"/>
        </w:rPr>
        <w:t xml:space="preserve"> podmiot</w:t>
      </w:r>
      <w:r w:rsidR="00731502">
        <w:rPr>
          <w:szCs w:val="24"/>
        </w:rPr>
        <w:t>ów</w:t>
      </w:r>
      <w:r w:rsidRPr="006055E0">
        <w:rPr>
          <w:szCs w:val="24"/>
        </w:rPr>
        <w:t xml:space="preserve"> na francuskim rynku edukacyjnym. </w:t>
      </w:r>
      <w:r w:rsidR="009B082D" w:rsidRPr="006055E0">
        <w:rPr>
          <w:szCs w:val="24"/>
        </w:rPr>
        <w:t>Tylko te uczelnie, którym udaje się z</w:t>
      </w:r>
      <w:r w:rsidR="00E236AB">
        <w:rPr>
          <w:szCs w:val="24"/>
        </w:rPr>
        <w:t>dobyć</w:t>
      </w:r>
      <w:r w:rsidR="009B082D" w:rsidRPr="006055E0">
        <w:rPr>
          <w:szCs w:val="24"/>
        </w:rPr>
        <w:t xml:space="preserve"> najważniejsze akredytacje międzynarodowe czy przejść tak zwaną akredytację potrójną: EQUIS </w:t>
      </w:r>
      <w:r w:rsidR="004478D2" w:rsidRPr="006055E0">
        <w:rPr>
          <w:szCs w:val="24"/>
        </w:rPr>
        <w:t>(</w:t>
      </w:r>
      <w:proofErr w:type="spellStart"/>
      <w:r w:rsidR="004478D2" w:rsidRPr="006055E0">
        <w:rPr>
          <w:i/>
          <w:iCs/>
          <w:szCs w:val="24"/>
        </w:rPr>
        <w:t>European</w:t>
      </w:r>
      <w:proofErr w:type="spellEnd"/>
      <w:r w:rsidR="004478D2" w:rsidRPr="006055E0">
        <w:rPr>
          <w:i/>
          <w:iCs/>
          <w:szCs w:val="24"/>
        </w:rPr>
        <w:t xml:space="preserve"> </w:t>
      </w:r>
      <w:proofErr w:type="spellStart"/>
      <w:r w:rsidR="004478D2" w:rsidRPr="006055E0">
        <w:rPr>
          <w:i/>
          <w:iCs/>
          <w:szCs w:val="24"/>
        </w:rPr>
        <w:t>Quality</w:t>
      </w:r>
      <w:proofErr w:type="spellEnd"/>
      <w:r w:rsidR="004478D2" w:rsidRPr="006055E0">
        <w:rPr>
          <w:i/>
          <w:iCs/>
          <w:szCs w:val="24"/>
        </w:rPr>
        <w:t xml:space="preserve"> </w:t>
      </w:r>
      <w:proofErr w:type="spellStart"/>
      <w:r w:rsidR="004478D2" w:rsidRPr="006055E0">
        <w:rPr>
          <w:i/>
          <w:iCs/>
          <w:szCs w:val="24"/>
        </w:rPr>
        <w:t>Improvement</w:t>
      </w:r>
      <w:proofErr w:type="spellEnd"/>
      <w:r w:rsidR="004478D2" w:rsidRPr="006055E0">
        <w:rPr>
          <w:i/>
          <w:iCs/>
          <w:szCs w:val="24"/>
        </w:rPr>
        <w:t xml:space="preserve"> System</w:t>
      </w:r>
      <w:r w:rsidR="00E236AB">
        <w:rPr>
          <w:szCs w:val="24"/>
        </w:rPr>
        <w:t xml:space="preserve"> – </w:t>
      </w:r>
      <w:r w:rsidR="009B082D" w:rsidRPr="006055E0">
        <w:rPr>
          <w:szCs w:val="24"/>
        </w:rPr>
        <w:t xml:space="preserve">akredytacja </w:t>
      </w:r>
      <w:proofErr w:type="spellStart"/>
      <w:r w:rsidR="009B082D" w:rsidRPr="006055E0">
        <w:rPr>
          <w:szCs w:val="24"/>
        </w:rPr>
        <w:t>European</w:t>
      </w:r>
      <w:proofErr w:type="spellEnd"/>
      <w:r w:rsidR="009B082D" w:rsidRPr="006055E0">
        <w:rPr>
          <w:szCs w:val="24"/>
        </w:rPr>
        <w:t xml:space="preserve"> Foundation for Management Development</w:t>
      </w:r>
      <w:r w:rsidR="0090321E" w:rsidRPr="006055E0">
        <w:rPr>
          <w:szCs w:val="24"/>
        </w:rPr>
        <w:t>), AACSB (</w:t>
      </w:r>
      <w:proofErr w:type="spellStart"/>
      <w:r w:rsidR="0090321E" w:rsidRPr="006055E0">
        <w:rPr>
          <w:bCs/>
          <w:szCs w:val="24"/>
        </w:rPr>
        <w:t>Association</w:t>
      </w:r>
      <w:proofErr w:type="spellEnd"/>
      <w:r w:rsidR="0090321E" w:rsidRPr="006055E0">
        <w:rPr>
          <w:bCs/>
          <w:szCs w:val="24"/>
        </w:rPr>
        <w:t xml:space="preserve"> to </w:t>
      </w:r>
      <w:proofErr w:type="spellStart"/>
      <w:r w:rsidR="0090321E" w:rsidRPr="006055E0">
        <w:rPr>
          <w:bCs/>
          <w:szCs w:val="24"/>
        </w:rPr>
        <w:t>Advance</w:t>
      </w:r>
      <w:proofErr w:type="spellEnd"/>
      <w:r w:rsidR="0090321E" w:rsidRPr="006055E0">
        <w:rPr>
          <w:bCs/>
          <w:szCs w:val="24"/>
        </w:rPr>
        <w:t xml:space="preserve"> </w:t>
      </w:r>
      <w:proofErr w:type="spellStart"/>
      <w:r w:rsidR="0090321E" w:rsidRPr="006055E0">
        <w:rPr>
          <w:bCs/>
          <w:szCs w:val="24"/>
        </w:rPr>
        <w:t>Collegiate</w:t>
      </w:r>
      <w:proofErr w:type="spellEnd"/>
      <w:r w:rsidR="0090321E" w:rsidRPr="006055E0">
        <w:rPr>
          <w:bCs/>
          <w:szCs w:val="24"/>
        </w:rPr>
        <w:t xml:space="preserve"> Schools of Business)</w:t>
      </w:r>
      <w:r w:rsidR="00E236AB">
        <w:rPr>
          <w:bCs/>
          <w:szCs w:val="24"/>
        </w:rPr>
        <w:t xml:space="preserve"> i </w:t>
      </w:r>
      <w:r w:rsidR="0090321E" w:rsidRPr="006055E0">
        <w:rPr>
          <w:bCs/>
          <w:szCs w:val="24"/>
        </w:rPr>
        <w:t>AMBA (</w:t>
      </w:r>
      <w:proofErr w:type="spellStart"/>
      <w:r w:rsidR="0090321E" w:rsidRPr="006055E0">
        <w:rPr>
          <w:bCs/>
          <w:szCs w:val="24"/>
        </w:rPr>
        <w:t>Association</w:t>
      </w:r>
      <w:proofErr w:type="spellEnd"/>
      <w:r w:rsidR="0090321E" w:rsidRPr="006055E0">
        <w:rPr>
          <w:bCs/>
          <w:szCs w:val="24"/>
        </w:rPr>
        <w:t xml:space="preserve"> of </w:t>
      </w:r>
      <w:proofErr w:type="spellStart"/>
      <w:r w:rsidR="0090321E" w:rsidRPr="006055E0">
        <w:rPr>
          <w:bCs/>
          <w:szCs w:val="24"/>
        </w:rPr>
        <w:t>MBAs</w:t>
      </w:r>
      <w:proofErr w:type="spellEnd"/>
      <w:r w:rsidR="0090321E" w:rsidRPr="006055E0">
        <w:rPr>
          <w:bCs/>
          <w:szCs w:val="24"/>
        </w:rPr>
        <w:t>)</w:t>
      </w:r>
      <w:r w:rsidR="00723EA8">
        <w:rPr>
          <w:bCs/>
          <w:szCs w:val="24"/>
        </w:rPr>
        <w:t>,</w:t>
      </w:r>
      <w:r w:rsidR="002B1BDB">
        <w:rPr>
          <w:bCs/>
          <w:szCs w:val="24"/>
        </w:rPr>
        <w:t xml:space="preserve"> mają szansę na pozyskanie najlepszych kandydatów z kraju i ze świata</w:t>
      </w:r>
      <w:r w:rsidR="0090321E" w:rsidRPr="006055E0">
        <w:rPr>
          <w:bCs/>
          <w:szCs w:val="24"/>
        </w:rPr>
        <w:t>.</w:t>
      </w:r>
      <w:r w:rsidR="009D5718">
        <w:rPr>
          <w:bCs/>
          <w:szCs w:val="24"/>
        </w:rPr>
        <w:t xml:space="preserve"> Należy również wspomnieć, że cały czas pojawiają się nowe ciała akredytacyjne, jak</w:t>
      </w:r>
      <w:r w:rsidR="00BC07DE">
        <w:rPr>
          <w:bCs/>
          <w:szCs w:val="24"/>
        </w:rPr>
        <w:t xml:space="preserve"> na przykład,</w:t>
      </w:r>
      <w:r w:rsidR="009D5718">
        <w:rPr>
          <w:bCs/>
          <w:szCs w:val="24"/>
        </w:rPr>
        <w:t xml:space="preserve"> powstałe z inicjatywy Holandii oraz samorządu Flandrii w 2012 roku NVAO (</w:t>
      </w:r>
      <w:proofErr w:type="spellStart"/>
      <w:r w:rsidR="009D5718" w:rsidRPr="009D5718">
        <w:rPr>
          <w:bCs/>
          <w:iCs/>
          <w:szCs w:val="24"/>
        </w:rPr>
        <w:t>Accreditation</w:t>
      </w:r>
      <w:proofErr w:type="spellEnd"/>
      <w:r w:rsidR="009D5718" w:rsidRPr="009D5718">
        <w:rPr>
          <w:bCs/>
          <w:iCs/>
          <w:szCs w:val="24"/>
        </w:rPr>
        <w:t xml:space="preserve"> </w:t>
      </w:r>
      <w:proofErr w:type="spellStart"/>
      <w:r w:rsidR="009D5718" w:rsidRPr="009D5718">
        <w:rPr>
          <w:bCs/>
          <w:iCs/>
          <w:szCs w:val="24"/>
        </w:rPr>
        <w:t>Organisation</w:t>
      </w:r>
      <w:proofErr w:type="spellEnd"/>
      <w:r w:rsidR="009D5718" w:rsidRPr="009D5718">
        <w:rPr>
          <w:bCs/>
          <w:iCs/>
          <w:szCs w:val="24"/>
        </w:rPr>
        <w:t xml:space="preserve"> of the </w:t>
      </w:r>
      <w:proofErr w:type="spellStart"/>
      <w:r w:rsidR="009D5718" w:rsidRPr="009D5718">
        <w:rPr>
          <w:bCs/>
          <w:iCs/>
          <w:szCs w:val="24"/>
        </w:rPr>
        <w:t>Netherlands</w:t>
      </w:r>
      <w:proofErr w:type="spellEnd"/>
      <w:r w:rsidR="009D5718" w:rsidRPr="009D5718">
        <w:rPr>
          <w:bCs/>
          <w:iCs/>
          <w:szCs w:val="24"/>
        </w:rPr>
        <w:t xml:space="preserve"> and </w:t>
      </w:r>
      <w:proofErr w:type="spellStart"/>
      <w:r w:rsidR="009D5718" w:rsidRPr="009D5718">
        <w:rPr>
          <w:bCs/>
          <w:iCs/>
          <w:szCs w:val="24"/>
        </w:rPr>
        <w:t>Flanders</w:t>
      </w:r>
      <w:proofErr w:type="spellEnd"/>
      <w:r w:rsidR="009D5718">
        <w:rPr>
          <w:bCs/>
          <w:iCs/>
          <w:szCs w:val="24"/>
        </w:rPr>
        <w:t xml:space="preserve">) dla uczelni z </w:t>
      </w:r>
      <w:r w:rsidR="00BC07DE">
        <w:rPr>
          <w:bCs/>
          <w:iCs/>
          <w:szCs w:val="24"/>
        </w:rPr>
        <w:t xml:space="preserve">ich terytorium. </w:t>
      </w:r>
      <w:r w:rsidR="0090321E" w:rsidRPr="006055E0">
        <w:rPr>
          <w:bCs/>
          <w:szCs w:val="24"/>
        </w:rPr>
        <w:t>Oczywiście są to procesy bardzo kosztowne i pracochłonne, stąd uczelnie publiczne ba</w:t>
      </w:r>
      <w:r w:rsidR="00DD024F" w:rsidRPr="006055E0">
        <w:rPr>
          <w:bCs/>
          <w:szCs w:val="24"/>
        </w:rPr>
        <w:t xml:space="preserve">rdzo rzadko się w nie angażują. Dodatkowo są to </w:t>
      </w:r>
      <w:r w:rsidR="002B1BDB">
        <w:rPr>
          <w:bCs/>
          <w:szCs w:val="24"/>
        </w:rPr>
        <w:t>działania</w:t>
      </w:r>
      <w:r w:rsidR="002B1BDB" w:rsidRPr="006055E0">
        <w:rPr>
          <w:bCs/>
          <w:szCs w:val="24"/>
        </w:rPr>
        <w:t xml:space="preserve"> </w:t>
      </w:r>
      <w:r w:rsidR="005D17B1">
        <w:rPr>
          <w:bCs/>
          <w:szCs w:val="24"/>
        </w:rPr>
        <w:t>często</w:t>
      </w:r>
      <w:r w:rsidR="00DD024F" w:rsidRPr="006055E0">
        <w:rPr>
          <w:bCs/>
          <w:szCs w:val="24"/>
        </w:rPr>
        <w:t xml:space="preserve"> „samoograniczające” w kontekście współpracy międzynarodowej, ze względu na fakt, iż większość tych akredytacji narzuca akredytowanym obowiązek współpracy niemalże wyłącznie z instytucjami posiadającymi podobne akredytacje.</w:t>
      </w:r>
    </w:p>
    <w:p w:rsidR="00EE291C" w:rsidRDefault="00E3174C" w:rsidP="00EE291C">
      <w:pPr>
        <w:pStyle w:val="tekstpods"/>
        <w:rPr>
          <w:bCs/>
          <w:szCs w:val="24"/>
        </w:rPr>
      </w:pPr>
      <w:r w:rsidRPr="006055E0">
        <w:rPr>
          <w:bCs/>
          <w:szCs w:val="24"/>
        </w:rPr>
        <w:lastRenderedPageBreak/>
        <w:t xml:space="preserve">Podobnie jest z rankingami. W każdym kraju </w:t>
      </w:r>
      <w:r w:rsidR="00051289" w:rsidRPr="006055E0">
        <w:rPr>
          <w:bCs/>
          <w:szCs w:val="24"/>
        </w:rPr>
        <w:t>można odnotować kilka rankingów, z których większość proponuje benchmark uczelni działających na jego terenie</w:t>
      </w:r>
      <w:r w:rsidR="00BD2A3E">
        <w:rPr>
          <w:bCs/>
          <w:szCs w:val="24"/>
        </w:rPr>
        <w:t>, choć zdarzają się i takie rankingi, które wartościują uczelnie w skali międzynarodowej</w:t>
      </w:r>
      <w:r w:rsidR="00051289" w:rsidRPr="006055E0">
        <w:rPr>
          <w:bCs/>
          <w:szCs w:val="24"/>
        </w:rPr>
        <w:t xml:space="preserve">. </w:t>
      </w:r>
      <w:r w:rsidR="00BD2A3E">
        <w:rPr>
          <w:bCs/>
          <w:szCs w:val="24"/>
        </w:rPr>
        <w:t>W większości jednak r</w:t>
      </w:r>
      <w:r w:rsidR="004873F1">
        <w:rPr>
          <w:bCs/>
          <w:szCs w:val="24"/>
        </w:rPr>
        <w:t>ankingi</w:t>
      </w:r>
      <w:r w:rsidR="00BD2A3E">
        <w:rPr>
          <w:bCs/>
          <w:szCs w:val="24"/>
        </w:rPr>
        <w:t xml:space="preserve"> t</w:t>
      </w:r>
      <w:r w:rsidR="00051289" w:rsidRPr="006055E0">
        <w:rPr>
          <w:bCs/>
          <w:szCs w:val="24"/>
        </w:rPr>
        <w:t>worzone są na potrzeby lokalnego rynku edukacyjnego</w:t>
      </w:r>
      <w:r w:rsidR="004873F1">
        <w:rPr>
          <w:bCs/>
          <w:szCs w:val="24"/>
        </w:rPr>
        <w:t>, czyli</w:t>
      </w:r>
      <w:r w:rsidR="00051289" w:rsidRPr="006055E0">
        <w:rPr>
          <w:bCs/>
          <w:szCs w:val="24"/>
        </w:rPr>
        <w:t xml:space="preserve"> dla rodzimych studentów. </w:t>
      </w:r>
      <w:r w:rsidR="00577192" w:rsidRPr="006055E0">
        <w:rPr>
          <w:bCs/>
          <w:szCs w:val="24"/>
        </w:rPr>
        <w:t>Niektóre bywają bardzo nierzetelne,</w:t>
      </w:r>
      <w:r w:rsidR="00BD2A3E">
        <w:rPr>
          <w:bCs/>
          <w:szCs w:val="24"/>
        </w:rPr>
        <w:t xml:space="preserve"> inne wybiórcze</w:t>
      </w:r>
      <w:r w:rsidR="00577192" w:rsidRPr="006055E0">
        <w:rPr>
          <w:bCs/>
          <w:szCs w:val="24"/>
        </w:rPr>
        <w:t xml:space="preserve"> z uwagi na ograniczenie do nich dostępu, n</w:t>
      </w:r>
      <w:r w:rsidR="00F81519">
        <w:rPr>
          <w:bCs/>
          <w:szCs w:val="24"/>
        </w:rPr>
        <w:t>p.</w:t>
      </w:r>
      <w:r w:rsidR="00577192" w:rsidRPr="006055E0">
        <w:rPr>
          <w:bCs/>
          <w:szCs w:val="24"/>
        </w:rPr>
        <w:t xml:space="preserve"> poprzez żądanie dodatkowej opłaty czy też umieszczenia płatnej reklamy w konkretnym wydawnictwie. </w:t>
      </w:r>
      <w:r w:rsidR="00BA1EB7" w:rsidRPr="006055E0">
        <w:rPr>
          <w:bCs/>
          <w:szCs w:val="24"/>
        </w:rPr>
        <w:t xml:space="preserve">Często wiele do życzenia pozostawia więc metodologia </w:t>
      </w:r>
      <w:r w:rsidR="004873F1">
        <w:rPr>
          <w:bCs/>
          <w:szCs w:val="24"/>
        </w:rPr>
        <w:t xml:space="preserve">tworzenia </w:t>
      </w:r>
      <w:r w:rsidR="00BA1EB7" w:rsidRPr="006055E0">
        <w:rPr>
          <w:bCs/>
          <w:szCs w:val="24"/>
        </w:rPr>
        <w:t>rankingu</w:t>
      </w:r>
      <w:r w:rsidR="00762F70" w:rsidRPr="006055E0">
        <w:rPr>
          <w:rStyle w:val="Odwoanieprzypisudolnego"/>
          <w:bCs/>
          <w:szCs w:val="24"/>
        </w:rPr>
        <w:footnoteReference w:id="10"/>
      </w:r>
      <w:r w:rsidR="00BA1EB7" w:rsidRPr="006055E0">
        <w:rPr>
          <w:bCs/>
          <w:szCs w:val="24"/>
        </w:rPr>
        <w:t xml:space="preserve">. </w:t>
      </w:r>
      <w:r w:rsidR="00577192" w:rsidRPr="006055E0">
        <w:rPr>
          <w:bCs/>
          <w:szCs w:val="24"/>
        </w:rPr>
        <w:t xml:space="preserve">Aktualnie większość rankingów uwzględnia wskaźnik internacjonalizacji uczelni jako jeden z </w:t>
      </w:r>
      <w:r w:rsidR="00577192" w:rsidRPr="009E3A50">
        <w:rPr>
          <w:bCs/>
          <w:szCs w:val="24"/>
        </w:rPr>
        <w:t>w</w:t>
      </w:r>
      <w:r w:rsidR="00C83742" w:rsidRPr="009E3A50">
        <w:rPr>
          <w:bCs/>
          <w:szCs w:val="24"/>
        </w:rPr>
        <w:t>ażnych</w:t>
      </w:r>
      <w:r w:rsidR="00577192" w:rsidRPr="006055E0">
        <w:rPr>
          <w:bCs/>
          <w:szCs w:val="24"/>
        </w:rPr>
        <w:t xml:space="preserve"> czynników jakości kształcenia.</w:t>
      </w:r>
    </w:p>
    <w:p w:rsidR="00EE291C" w:rsidRDefault="004873F1" w:rsidP="00EE291C">
      <w:pPr>
        <w:pStyle w:val="tekstpods"/>
        <w:rPr>
          <w:szCs w:val="24"/>
        </w:rPr>
      </w:pPr>
      <w:r>
        <w:rPr>
          <w:bCs/>
          <w:szCs w:val="24"/>
        </w:rPr>
        <w:t>Istnieje</w:t>
      </w:r>
      <w:r w:rsidR="00A276C8" w:rsidRPr="006055E0">
        <w:rPr>
          <w:bCs/>
          <w:szCs w:val="24"/>
        </w:rPr>
        <w:t xml:space="preserve"> też kilka </w:t>
      </w:r>
      <w:r w:rsidR="00F81519">
        <w:rPr>
          <w:bCs/>
          <w:szCs w:val="24"/>
        </w:rPr>
        <w:t>istotnych</w:t>
      </w:r>
      <w:r w:rsidR="00F81519" w:rsidRPr="006055E0">
        <w:rPr>
          <w:bCs/>
          <w:szCs w:val="24"/>
        </w:rPr>
        <w:t xml:space="preserve"> </w:t>
      </w:r>
      <w:r w:rsidR="00A276C8" w:rsidRPr="006055E0">
        <w:rPr>
          <w:bCs/>
          <w:szCs w:val="24"/>
        </w:rPr>
        <w:t>rankingów o znaczeniu gl</w:t>
      </w:r>
      <w:r w:rsidR="00BA1EB7" w:rsidRPr="006055E0">
        <w:rPr>
          <w:bCs/>
          <w:szCs w:val="24"/>
        </w:rPr>
        <w:t>obalnym, takich jak</w:t>
      </w:r>
      <w:r w:rsidR="00BD2A3E">
        <w:rPr>
          <w:bCs/>
          <w:szCs w:val="24"/>
        </w:rPr>
        <w:t xml:space="preserve"> </w:t>
      </w:r>
      <w:r w:rsidR="00483506">
        <w:rPr>
          <w:bCs/>
          <w:szCs w:val="24"/>
        </w:rPr>
        <w:t xml:space="preserve">zestawienie </w:t>
      </w:r>
      <w:r w:rsidR="00BD2A3E">
        <w:rPr>
          <w:bCs/>
          <w:szCs w:val="24"/>
        </w:rPr>
        <w:t>przygotowywan</w:t>
      </w:r>
      <w:r w:rsidR="00483506">
        <w:rPr>
          <w:bCs/>
          <w:szCs w:val="24"/>
        </w:rPr>
        <w:t>e</w:t>
      </w:r>
      <w:r w:rsidR="00BD2A3E">
        <w:rPr>
          <w:bCs/>
          <w:szCs w:val="24"/>
        </w:rPr>
        <w:t xml:space="preserve"> przez</w:t>
      </w:r>
      <w:r w:rsidR="00B42FE8">
        <w:rPr>
          <w:bCs/>
          <w:szCs w:val="24"/>
        </w:rPr>
        <w:t xml:space="preserve"> </w:t>
      </w:r>
      <w:r w:rsidR="00A13CA7" w:rsidRPr="006055E0">
        <w:rPr>
          <w:bCs/>
          <w:szCs w:val="24"/>
        </w:rPr>
        <w:t>Shanghai R</w:t>
      </w:r>
      <w:r w:rsidR="00A276C8" w:rsidRPr="006055E0">
        <w:rPr>
          <w:bCs/>
          <w:szCs w:val="24"/>
        </w:rPr>
        <w:t xml:space="preserve">anking </w:t>
      </w:r>
      <w:proofErr w:type="spellStart"/>
      <w:r w:rsidR="00A276C8" w:rsidRPr="006055E0">
        <w:rPr>
          <w:bCs/>
          <w:szCs w:val="24"/>
        </w:rPr>
        <w:t>Consultancy</w:t>
      </w:r>
      <w:proofErr w:type="spellEnd"/>
      <w:r w:rsidR="00A276C8" w:rsidRPr="006055E0">
        <w:rPr>
          <w:bCs/>
          <w:szCs w:val="24"/>
        </w:rPr>
        <w:t xml:space="preserve"> (SRC)</w:t>
      </w:r>
      <w:r w:rsidR="00F81519">
        <w:rPr>
          <w:bCs/>
          <w:szCs w:val="24"/>
        </w:rPr>
        <w:t xml:space="preserve"> –</w:t>
      </w:r>
      <w:r w:rsidR="00A13CA7" w:rsidRPr="006055E0">
        <w:rPr>
          <w:bCs/>
          <w:szCs w:val="24"/>
        </w:rPr>
        <w:t xml:space="preserve"> </w:t>
      </w:r>
      <w:r w:rsidR="00BD2A3E">
        <w:rPr>
          <w:bCs/>
          <w:szCs w:val="24"/>
        </w:rPr>
        <w:t>instytucję</w:t>
      </w:r>
      <w:r w:rsidR="00483506">
        <w:rPr>
          <w:bCs/>
          <w:szCs w:val="24"/>
        </w:rPr>
        <w:t>,</w:t>
      </w:r>
      <w:r w:rsidR="00BD2A3E">
        <w:rPr>
          <w:bCs/>
          <w:szCs w:val="24"/>
        </w:rPr>
        <w:t xml:space="preserve"> która </w:t>
      </w:r>
      <w:r w:rsidR="00A13CA7" w:rsidRPr="006055E0">
        <w:rPr>
          <w:bCs/>
          <w:szCs w:val="24"/>
        </w:rPr>
        <w:t>zapoczątkował</w:t>
      </w:r>
      <w:r w:rsidR="00BD2A3E">
        <w:rPr>
          <w:bCs/>
          <w:szCs w:val="24"/>
        </w:rPr>
        <w:t>a</w:t>
      </w:r>
      <w:r w:rsidR="00A13CA7" w:rsidRPr="006055E0">
        <w:rPr>
          <w:bCs/>
          <w:szCs w:val="24"/>
        </w:rPr>
        <w:t xml:space="preserve"> badanie zwane </w:t>
      </w:r>
      <w:r w:rsidR="00AB77A3" w:rsidRPr="00AB77A3">
        <w:rPr>
          <w:i/>
        </w:rPr>
        <w:t xml:space="preserve">Global </w:t>
      </w:r>
      <w:proofErr w:type="spellStart"/>
      <w:r w:rsidR="00AB77A3" w:rsidRPr="00AB77A3">
        <w:rPr>
          <w:i/>
        </w:rPr>
        <w:t>Research</w:t>
      </w:r>
      <w:proofErr w:type="spellEnd"/>
      <w:r w:rsidR="00AB77A3" w:rsidRPr="00AB77A3">
        <w:rPr>
          <w:i/>
        </w:rPr>
        <w:t xml:space="preserve"> University </w:t>
      </w:r>
      <w:proofErr w:type="spellStart"/>
      <w:r w:rsidR="00AB77A3" w:rsidRPr="00AB77A3">
        <w:rPr>
          <w:i/>
        </w:rPr>
        <w:t>Profiles</w:t>
      </w:r>
      <w:proofErr w:type="spellEnd"/>
      <w:r w:rsidR="00A13CA7" w:rsidRPr="006055E0">
        <w:rPr>
          <w:bCs/>
          <w:szCs w:val="24"/>
        </w:rPr>
        <w:t xml:space="preserve"> (GRUP)</w:t>
      </w:r>
      <w:r w:rsidR="00A276C8" w:rsidRPr="006055E0">
        <w:rPr>
          <w:bCs/>
          <w:szCs w:val="24"/>
        </w:rPr>
        <w:t xml:space="preserve">, </w:t>
      </w:r>
      <w:r w:rsidR="00B42FE8">
        <w:rPr>
          <w:bCs/>
          <w:szCs w:val="24"/>
        </w:rPr>
        <w:t>oraz</w:t>
      </w:r>
      <w:r w:rsidR="00F81519">
        <w:rPr>
          <w:bCs/>
          <w:szCs w:val="24"/>
        </w:rPr>
        <w:t xml:space="preserve"> projekt</w:t>
      </w:r>
      <w:r w:rsidR="00B42FE8">
        <w:rPr>
          <w:bCs/>
          <w:szCs w:val="24"/>
        </w:rPr>
        <w:t xml:space="preserve"> </w:t>
      </w:r>
      <w:r w:rsidR="00AB77A3" w:rsidRPr="00AB77A3">
        <w:rPr>
          <w:i/>
        </w:rPr>
        <w:t xml:space="preserve">Global </w:t>
      </w:r>
      <w:proofErr w:type="spellStart"/>
      <w:r w:rsidR="00AB77A3" w:rsidRPr="00AB77A3">
        <w:rPr>
          <w:i/>
        </w:rPr>
        <w:t>Institutional</w:t>
      </w:r>
      <w:proofErr w:type="spellEnd"/>
      <w:r w:rsidR="00AB77A3" w:rsidRPr="00AB77A3">
        <w:rPr>
          <w:i/>
        </w:rPr>
        <w:t xml:space="preserve"> </w:t>
      </w:r>
      <w:proofErr w:type="spellStart"/>
      <w:r w:rsidR="00AB77A3" w:rsidRPr="00AB77A3">
        <w:rPr>
          <w:i/>
        </w:rPr>
        <w:t>Profiles</w:t>
      </w:r>
      <w:proofErr w:type="spellEnd"/>
      <w:r w:rsidR="00AB77A3" w:rsidRPr="00AB77A3">
        <w:rPr>
          <w:i/>
        </w:rPr>
        <w:t xml:space="preserve"> Project</w:t>
      </w:r>
      <w:r w:rsidR="00A13CA7" w:rsidRPr="006055E0">
        <w:rPr>
          <w:bCs/>
          <w:szCs w:val="24"/>
        </w:rPr>
        <w:t xml:space="preserve"> (GPP)</w:t>
      </w:r>
      <w:r>
        <w:rPr>
          <w:bCs/>
          <w:szCs w:val="24"/>
        </w:rPr>
        <w:t xml:space="preserve"> prowadzony przez Thomson Reuters</w:t>
      </w:r>
      <w:r w:rsidR="00CF799F">
        <w:rPr>
          <w:bCs/>
          <w:szCs w:val="24"/>
        </w:rPr>
        <w:t xml:space="preserve">. </w:t>
      </w:r>
      <w:r w:rsidR="00B42FE8">
        <w:rPr>
          <w:bCs/>
          <w:szCs w:val="24"/>
        </w:rPr>
        <w:t>N</w:t>
      </w:r>
      <w:r w:rsidR="003D6BCE" w:rsidRPr="006055E0">
        <w:rPr>
          <w:bCs/>
          <w:szCs w:val="24"/>
        </w:rPr>
        <w:t>iektóre z tych rankingów</w:t>
      </w:r>
      <w:r>
        <w:rPr>
          <w:bCs/>
          <w:szCs w:val="24"/>
        </w:rPr>
        <w:t>,</w:t>
      </w:r>
      <w:r w:rsidR="003D6BCE" w:rsidRPr="006055E0">
        <w:rPr>
          <w:bCs/>
          <w:szCs w:val="24"/>
        </w:rPr>
        <w:t xml:space="preserve"> jak np. ranking „szanghajski”</w:t>
      </w:r>
      <w:r>
        <w:rPr>
          <w:bCs/>
          <w:szCs w:val="24"/>
        </w:rPr>
        <w:t>,</w:t>
      </w:r>
      <w:r w:rsidR="003D6BCE" w:rsidRPr="006055E0">
        <w:rPr>
          <w:bCs/>
          <w:szCs w:val="24"/>
        </w:rPr>
        <w:t xml:space="preserve"> uwzględniane są w rankingach krajowych</w:t>
      </w:r>
      <w:r w:rsidR="002B002A">
        <w:rPr>
          <w:bCs/>
          <w:szCs w:val="24"/>
        </w:rPr>
        <w:t>.</w:t>
      </w:r>
      <w:r w:rsidR="0015335C" w:rsidRPr="006055E0">
        <w:rPr>
          <w:bCs/>
          <w:szCs w:val="24"/>
        </w:rPr>
        <w:t xml:space="preserve"> </w:t>
      </w:r>
      <w:r w:rsidR="00CF799F">
        <w:rPr>
          <w:bCs/>
          <w:szCs w:val="24"/>
        </w:rPr>
        <w:t xml:space="preserve">Wiele </w:t>
      </w:r>
      <w:r w:rsidR="00F81519">
        <w:rPr>
          <w:bCs/>
          <w:szCs w:val="24"/>
        </w:rPr>
        <w:t>z nich</w:t>
      </w:r>
      <w:r w:rsidR="00CF799F">
        <w:rPr>
          <w:bCs/>
          <w:szCs w:val="24"/>
        </w:rPr>
        <w:t xml:space="preserve">, </w:t>
      </w:r>
      <w:r w:rsidR="00483506">
        <w:rPr>
          <w:bCs/>
          <w:szCs w:val="24"/>
        </w:rPr>
        <w:t xml:space="preserve">np. </w:t>
      </w:r>
      <w:r w:rsidR="00AB77A3" w:rsidRPr="00AB77A3">
        <w:rPr>
          <w:i/>
        </w:rPr>
        <w:t xml:space="preserve">International Professional Ranking of </w:t>
      </w:r>
      <w:proofErr w:type="spellStart"/>
      <w:r w:rsidR="00AB77A3" w:rsidRPr="00AB77A3">
        <w:rPr>
          <w:i/>
        </w:rPr>
        <w:t>Higher</w:t>
      </w:r>
      <w:proofErr w:type="spellEnd"/>
      <w:r w:rsidR="00AB77A3" w:rsidRPr="00AB77A3">
        <w:rPr>
          <w:i/>
        </w:rPr>
        <w:t xml:space="preserve"> </w:t>
      </w:r>
      <w:proofErr w:type="spellStart"/>
      <w:r w:rsidR="00AB77A3" w:rsidRPr="00AB77A3">
        <w:rPr>
          <w:i/>
        </w:rPr>
        <w:t>Education</w:t>
      </w:r>
      <w:proofErr w:type="spellEnd"/>
      <w:r w:rsidR="00AB77A3" w:rsidRPr="00AB77A3">
        <w:rPr>
          <w:i/>
        </w:rPr>
        <w:t xml:space="preserve"> </w:t>
      </w:r>
      <w:proofErr w:type="spellStart"/>
      <w:r w:rsidR="00AB77A3" w:rsidRPr="00AB77A3">
        <w:rPr>
          <w:i/>
        </w:rPr>
        <w:t>Institutions</w:t>
      </w:r>
      <w:proofErr w:type="spellEnd"/>
      <w:r w:rsidR="00AB77A3" w:rsidRPr="00AB77A3">
        <w:rPr>
          <w:i/>
        </w:rPr>
        <w:t xml:space="preserve"> </w:t>
      </w:r>
      <w:r w:rsidR="007C7560" w:rsidRPr="006055E0">
        <w:rPr>
          <w:bCs/>
          <w:szCs w:val="24"/>
        </w:rPr>
        <w:t xml:space="preserve">prowadzony od 2007 r. przez paryską </w:t>
      </w:r>
      <w:proofErr w:type="spellStart"/>
      <w:r w:rsidR="007C7560" w:rsidRPr="006055E0">
        <w:rPr>
          <w:bCs/>
          <w:szCs w:val="24"/>
        </w:rPr>
        <w:t>Ecole</w:t>
      </w:r>
      <w:proofErr w:type="spellEnd"/>
      <w:r w:rsidR="007C7560" w:rsidRPr="006055E0">
        <w:rPr>
          <w:bCs/>
          <w:szCs w:val="24"/>
        </w:rPr>
        <w:t xml:space="preserve"> des </w:t>
      </w:r>
      <w:proofErr w:type="spellStart"/>
      <w:r w:rsidR="007C7560" w:rsidRPr="006055E0">
        <w:rPr>
          <w:bCs/>
          <w:szCs w:val="24"/>
        </w:rPr>
        <w:t>Mines</w:t>
      </w:r>
      <w:proofErr w:type="spellEnd"/>
      <w:r w:rsidR="007C7560" w:rsidRPr="006055E0">
        <w:rPr>
          <w:bCs/>
          <w:szCs w:val="24"/>
        </w:rPr>
        <w:t xml:space="preserve"> de Paris (MINES </w:t>
      </w:r>
      <w:proofErr w:type="spellStart"/>
      <w:r w:rsidR="007C7560" w:rsidRPr="006055E0">
        <w:rPr>
          <w:bCs/>
          <w:szCs w:val="24"/>
        </w:rPr>
        <w:t>ParisTech</w:t>
      </w:r>
      <w:proofErr w:type="spellEnd"/>
      <w:r w:rsidR="007C7560" w:rsidRPr="006055E0">
        <w:rPr>
          <w:bCs/>
          <w:szCs w:val="24"/>
        </w:rPr>
        <w:t>)</w:t>
      </w:r>
      <w:r w:rsidR="00CF799F">
        <w:rPr>
          <w:bCs/>
          <w:szCs w:val="24"/>
        </w:rPr>
        <w:t>,</w:t>
      </w:r>
      <w:r w:rsidR="007C7560" w:rsidRPr="006055E0">
        <w:rPr>
          <w:bCs/>
          <w:szCs w:val="24"/>
        </w:rPr>
        <w:t xml:space="preserve"> bierze pod uwagę liczbę absolwentów uczelni pełniących kierownicze stanowiska w największych firmach globalnych. </w:t>
      </w:r>
      <w:r w:rsidR="00F81519">
        <w:rPr>
          <w:bCs/>
          <w:szCs w:val="24"/>
        </w:rPr>
        <w:t xml:space="preserve">Z kolei </w:t>
      </w:r>
      <w:proofErr w:type="spellStart"/>
      <w:r w:rsidR="00AB77A3" w:rsidRPr="00AB77A3">
        <w:rPr>
          <w:i/>
        </w:rPr>
        <w:t>Leiden</w:t>
      </w:r>
      <w:proofErr w:type="spellEnd"/>
      <w:r w:rsidR="00AB77A3" w:rsidRPr="00AB77A3">
        <w:rPr>
          <w:i/>
        </w:rPr>
        <w:t xml:space="preserve"> Ranking</w:t>
      </w:r>
      <w:r w:rsidR="007C7560" w:rsidRPr="006055E0">
        <w:rPr>
          <w:bCs/>
          <w:szCs w:val="24"/>
        </w:rPr>
        <w:t xml:space="preserve"> opracowany w 2007 r. przez Centre for Science and Technology </w:t>
      </w:r>
      <w:proofErr w:type="spellStart"/>
      <w:r w:rsidR="007C7560" w:rsidRPr="006055E0">
        <w:rPr>
          <w:bCs/>
          <w:szCs w:val="24"/>
        </w:rPr>
        <w:t>Studies</w:t>
      </w:r>
      <w:proofErr w:type="spellEnd"/>
      <w:r w:rsidR="007C7560" w:rsidRPr="006055E0">
        <w:rPr>
          <w:bCs/>
          <w:szCs w:val="24"/>
        </w:rPr>
        <w:t xml:space="preserve"> </w:t>
      </w:r>
      <w:proofErr w:type="spellStart"/>
      <w:r w:rsidR="007C7560" w:rsidRPr="006055E0">
        <w:rPr>
          <w:bCs/>
          <w:szCs w:val="24"/>
        </w:rPr>
        <w:t>Universytetu</w:t>
      </w:r>
      <w:proofErr w:type="spellEnd"/>
      <w:r w:rsidR="007C7560" w:rsidRPr="006055E0">
        <w:rPr>
          <w:bCs/>
          <w:szCs w:val="24"/>
        </w:rPr>
        <w:t xml:space="preserve"> </w:t>
      </w:r>
      <w:r w:rsidR="00B42FE8">
        <w:rPr>
          <w:bCs/>
          <w:szCs w:val="24"/>
        </w:rPr>
        <w:t xml:space="preserve">w </w:t>
      </w:r>
      <w:proofErr w:type="spellStart"/>
      <w:r w:rsidR="007C7560" w:rsidRPr="006055E0">
        <w:rPr>
          <w:bCs/>
          <w:szCs w:val="24"/>
        </w:rPr>
        <w:t>Leiden</w:t>
      </w:r>
      <w:proofErr w:type="spellEnd"/>
      <w:r w:rsidR="007C7560" w:rsidRPr="006055E0">
        <w:rPr>
          <w:bCs/>
          <w:szCs w:val="24"/>
        </w:rPr>
        <w:t xml:space="preserve"> wykorzystuje tylko wskaźniki </w:t>
      </w:r>
      <w:proofErr w:type="spellStart"/>
      <w:r w:rsidR="007C7560" w:rsidRPr="006055E0">
        <w:rPr>
          <w:bCs/>
          <w:szCs w:val="24"/>
        </w:rPr>
        <w:t>bibliometryczne</w:t>
      </w:r>
      <w:proofErr w:type="spellEnd"/>
      <w:r w:rsidR="0034011F" w:rsidRPr="006055E0">
        <w:rPr>
          <w:rStyle w:val="Odwoanieprzypisudolnego"/>
          <w:bCs/>
          <w:szCs w:val="24"/>
        </w:rPr>
        <w:footnoteReference w:id="11"/>
      </w:r>
      <w:r w:rsidR="007C7560" w:rsidRPr="006055E0">
        <w:rPr>
          <w:bCs/>
          <w:szCs w:val="24"/>
        </w:rPr>
        <w:t xml:space="preserve">. </w:t>
      </w:r>
      <w:r w:rsidR="00B1520C" w:rsidRPr="006055E0">
        <w:rPr>
          <w:bCs/>
          <w:szCs w:val="24"/>
        </w:rPr>
        <w:t xml:space="preserve">Dla uczelni biznesowych ważny jest również ranking prowadzony przez </w:t>
      </w:r>
      <w:r w:rsidR="002B002A">
        <w:rPr>
          <w:bCs/>
          <w:szCs w:val="24"/>
        </w:rPr>
        <w:t>„</w:t>
      </w:r>
      <w:r w:rsidR="00B57746" w:rsidRPr="006055E0">
        <w:rPr>
          <w:bCs/>
          <w:szCs w:val="24"/>
        </w:rPr>
        <w:t>Financial Times</w:t>
      </w:r>
      <w:r w:rsidR="002B002A">
        <w:rPr>
          <w:bCs/>
          <w:szCs w:val="24"/>
        </w:rPr>
        <w:t>”</w:t>
      </w:r>
      <w:r w:rsidR="00B57746" w:rsidRPr="006055E0">
        <w:rPr>
          <w:bCs/>
          <w:szCs w:val="24"/>
        </w:rPr>
        <w:t xml:space="preserve"> w kategoriach: europejska szkoła b</w:t>
      </w:r>
      <w:r w:rsidR="00B1520C" w:rsidRPr="006055E0">
        <w:rPr>
          <w:bCs/>
          <w:szCs w:val="24"/>
        </w:rPr>
        <w:t>iznesu, MBA</w:t>
      </w:r>
      <w:r w:rsidR="002B002A">
        <w:rPr>
          <w:bCs/>
          <w:szCs w:val="24"/>
        </w:rPr>
        <w:t xml:space="preserve"> oraz</w:t>
      </w:r>
      <w:r w:rsidR="00B1520C" w:rsidRPr="006055E0">
        <w:rPr>
          <w:bCs/>
          <w:szCs w:val="24"/>
        </w:rPr>
        <w:t xml:space="preserve"> studia magisterskie w dziedzinie finansów i zarządzania</w:t>
      </w:r>
      <w:r w:rsidR="00B57746" w:rsidRPr="006055E0">
        <w:rPr>
          <w:rStyle w:val="Odwoanieprzypisudolnego"/>
          <w:bCs/>
          <w:szCs w:val="24"/>
        </w:rPr>
        <w:footnoteReference w:id="12"/>
      </w:r>
      <w:r w:rsidR="002B002A">
        <w:rPr>
          <w:bCs/>
          <w:szCs w:val="24"/>
        </w:rPr>
        <w:t>.</w:t>
      </w:r>
      <w:r w:rsidR="00B57746" w:rsidRPr="006055E0">
        <w:rPr>
          <w:bCs/>
          <w:szCs w:val="24"/>
        </w:rPr>
        <w:t xml:space="preserve"> W dziedzinie zarządzania na uwagę zasługuje również EDUNIVERSAL, tworzący benchmark 1000 szkół biznesu ze 154 </w:t>
      </w:r>
      <w:r w:rsidR="00CF799F">
        <w:rPr>
          <w:bCs/>
          <w:szCs w:val="24"/>
        </w:rPr>
        <w:t>krajów</w:t>
      </w:r>
      <w:r w:rsidR="00B57746" w:rsidRPr="006055E0">
        <w:rPr>
          <w:bCs/>
          <w:szCs w:val="24"/>
        </w:rPr>
        <w:t xml:space="preserve"> całego świata. </w:t>
      </w:r>
      <w:r w:rsidR="0015335C" w:rsidRPr="006055E0">
        <w:rPr>
          <w:bCs/>
          <w:szCs w:val="24"/>
        </w:rPr>
        <w:t xml:space="preserve">W 2013 r. pojawił się nowy projekt </w:t>
      </w:r>
      <w:r w:rsidR="001F796E">
        <w:rPr>
          <w:bCs/>
          <w:szCs w:val="24"/>
        </w:rPr>
        <w:t>Komisji Europejskiej</w:t>
      </w:r>
      <w:r w:rsidR="0023611F">
        <w:rPr>
          <w:bCs/>
          <w:szCs w:val="24"/>
        </w:rPr>
        <w:t xml:space="preserve"> –</w:t>
      </w:r>
      <w:r w:rsidR="0015335C" w:rsidRPr="006055E0">
        <w:rPr>
          <w:bCs/>
          <w:szCs w:val="24"/>
        </w:rPr>
        <w:t xml:space="preserve"> </w:t>
      </w:r>
      <w:r w:rsidR="00CF745C" w:rsidRPr="006055E0">
        <w:rPr>
          <w:bCs/>
          <w:szCs w:val="24"/>
        </w:rPr>
        <w:t>U-</w:t>
      </w:r>
      <w:proofErr w:type="spellStart"/>
      <w:r w:rsidR="00CF745C" w:rsidRPr="006055E0">
        <w:rPr>
          <w:bCs/>
          <w:szCs w:val="24"/>
        </w:rPr>
        <w:t>Multirank</w:t>
      </w:r>
      <w:proofErr w:type="spellEnd"/>
      <w:r w:rsidR="00CF745C" w:rsidRPr="006055E0">
        <w:rPr>
          <w:bCs/>
          <w:szCs w:val="24"/>
        </w:rPr>
        <w:t>, który w pierwszym wydaniu</w:t>
      </w:r>
      <w:r w:rsidR="00E37900" w:rsidRPr="006055E0">
        <w:rPr>
          <w:bCs/>
          <w:szCs w:val="24"/>
        </w:rPr>
        <w:t xml:space="preserve"> (2013/</w:t>
      </w:r>
      <w:r w:rsidR="0023611F">
        <w:rPr>
          <w:bCs/>
          <w:szCs w:val="24"/>
        </w:rPr>
        <w:t>20</w:t>
      </w:r>
      <w:r w:rsidR="00E37900" w:rsidRPr="006055E0">
        <w:rPr>
          <w:bCs/>
          <w:szCs w:val="24"/>
        </w:rPr>
        <w:t>14)</w:t>
      </w:r>
      <w:r w:rsidR="00CF745C" w:rsidRPr="006055E0">
        <w:rPr>
          <w:bCs/>
          <w:szCs w:val="24"/>
        </w:rPr>
        <w:t xml:space="preserve"> </w:t>
      </w:r>
      <w:r w:rsidR="00E37900" w:rsidRPr="006055E0">
        <w:rPr>
          <w:bCs/>
          <w:szCs w:val="24"/>
        </w:rPr>
        <w:t>objął swoim badaniem blisko 500 uczelni z całego świata, w tym 30 z Polski. Ocena dotyczyła pięciu obszarów, w tym</w:t>
      </w:r>
      <w:r w:rsidR="00543705" w:rsidRPr="006055E0">
        <w:rPr>
          <w:bCs/>
          <w:szCs w:val="24"/>
        </w:rPr>
        <w:t xml:space="preserve"> tylko</w:t>
      </w:r>
      <w:r w:rsidR="00E37900" w:rsidRPr="006055E0">
        <w:rPr>
          <w:bCs/>
          <w:szCs w:val="24"/>
        </w:rPr>
        <w:t xml:space="preserve"> jednego aspektu internacjonalizacji</w:t>
      </w:r>
      <w:r w:rsidR="002B002A">
        <w:rPr>
          <w:bCs/>
          <w:szCs w:val="24"/>
        </w:rPr>
        <w:t xml:space="preserve"> –</w:t>
      </w:r>
      <w:r w:rsidR="00E37900" w:rsidRPr="006055E0">
        <w:rPr>
          <w:bCs/>
          <w:szCs w:val="24"/>
        </w:rPr>
        <w:t xml:space="preserve"> kontaktów międzynarodowych. </w:t>
      </w:r>
      <w:r w:rsidR="00E37900" w:rsidRPr="006055E0">
        <w:rPr>
          <w:szCs w:val="24"/>
        </w:rPr>
        <w:t>W tej edycji oceniane były wyłącznie</w:t>
      </w:r>
      <w:r w:rsidR="00E3174C" w:rsidRPr="006055E0">
        <w:rPr>
          <w:szCs w:val="24"/>
        </w:rPr>
        <w:t xml:space="preserve"> studia biznesowe, mechanika i budowa maszyn</w:t>
      </w:r>
      <w:r w:rsidR="00483506">
        <w:rPr>
          <w:szCs w:val="24"/>
        </w:rPr>
        <w:t xml:space="preserve"> oraz </w:t>
      </w:r>
      <w:r w:rsidR="00E3174C" w:rsidRPr="006055E0">
        <w:rPr>
          <w:szCs w:val="24"/>
        </w:rPr>
        <w:t>elektrotechnika i fizyka. W kolejnych latach liczba dyscypl</w:t>
      </w:r>
      <w:r w:rsidR="00577192" w:rsidRPr="006055E0">
        <w:rPr>
          <w:szCs w:val="24"/>
        </w:rPr>
        <w:t xml:space="preserve">in będzie stopniowo </w:t>
      </w:r>
      <w:r w:rsidR="002B002A">
        <w:rPr>
          <w:szCs w:val="24"/>
        </w:rPr>
        <w:t>zwiększana</w:t>
      </w:r>
      <w:r w:rsidR="00E37900" w:rsidRPr="006055E0">
        <w:rPr>
          <w:szCs w:val="24"/>
        </w:rPr>
        <w:t>.</w:t>
      </w:r>
    </w:p>
    <w:p w:rsidR="00B7157A" w:rsidRPr="002E19D8" w:rsidRDefault="00BA1EB7" w:rsidP="002E19D8">
      <w:pPr>
        <w:pStyle w:val="tekstpods"/>
      </w:pPr>
      <w:r w:rsidRPr="006055E0">
        <w:rPr>
          <w:szCs w:val="24"/>
        </w:rPr>
        <w:t xml:space="preserve">Poza pozytywnym oddziaływaniem rankingów, w tym również w zakresie pobudzania internacjonalizacji, </w:t>
      </w:r>
      <w:r w:rsidR="002E4CFA">
        <w:rPr>
          <w:szCs w:val="24"/>
        </w:rPr>
        <w:t xml:space="preserve">zwraca </w:t>
      </w:r>
      <w:r w:rsidRPr="006055E0">
        <w:rPr>
          <w:szCs w:val="24"/>
        </w:rPr>
        <w:t xml:space="preserve">się </w:t>
      </w:r>
      <w:r w:rsidR="002E4CFA">
        <w:rPr>
          <w:szCs w:val="24"/>
        </w:rPr>
        <w:t>uwagę na</w:t>
      </w:r>
      <w:r w:rsidRPr="006055E0">
        <w:rPr>
          <w:szCs w:val="24"/>
        </w:rPr>
        <w:t xml:space="preserve"> wiele negatywnych zjawisk z nimi związanych. W kontekście umiędzynarodowienia, </w:t>
      </w:r>
      <w:r w:rsidR="002E4CFA">
        <w:rPr>
          <w:szCs w:val="24"/>
        </w:rPr>
        <w:t xml:space="preserve">podobnie </w:t>
      </w:r>
      <w:r w:rsidRPr="006055E0">
        <w:rPr>
          <w:szCs w:val="24"/>
        </w:rPr>
        <w:t xml:space="preserve">zresztą jak w przypadku akredytacji międzynarodowych, </w:t>
      </w:r>
      <w:r w:rsidR="002E4CFA">
        <w:rPr>
          <w:szCs w:val="24"/>
        </w:rPr>
        <w:t xml:space="preserve">niekorzystne </w:t>
      </w:r>
      <w:r w:rsidRPr="006055E0">
        <w:rPr>
          <w:szCs w:val="24"/>
        </w:rPr>
        <w:t xml:space="preserve">jest wymuszanie niemalże globalnej standaryzacji i </w:t>
      </w:r>
      <w:r w:rsidRPr="006055E0">
        <w:rPr>
          <w:szCs w:val="24"/>
        </w:rPr>
        <w:lastRenderedPageBreak/>
        <w:t>ujednolicenia w zakresie oferty kształcenia</w:t>
      </w:r>
      <w:r w:rsidRPr="006055E0">
        <w:rPr>
          <w:rStyle w:val="Odwoanieprzypisudolnego"/>
          <w:szCs w:val="24"/>
        </w:rPr>
        <w:footnoteReference w:id="13"/>
      </w:r>
      <w:r w:rsidR="002B002A">
        <w:rPr>
          <w:szCs w:val="24"/>
        </w:rPr>
        <w:t>.</w:t>
      </w:r>
      <w:r w:rsidR="00834A97">
        <w:rPr>
          <w:szCs w:val="24"/>
        </w:rPr>
        <w:t xml:space="preserve"> Powstaje zagrożenie nieuwzględniania specyfiki poszczególnych krajów w procesach kształcenia czy w treściach programowych, co zwiększa poczucie </w:t>
      </w:r>
      <w:r w:rsidR="00483506">
        <w:rPr>
          <w:szCs w:val="24"/>
        </w:rPr>
        <w:t xml:space="preserve">istnienia </w:t>
      </w:r>
      <w:r w:rsidR="00834A97">
        <w:rPr>
          <w:szCs w:val="24"/>
        </w:rPr>
        <w:t xml:space="preserve">„globalnej wioski”, jednak może znacząco utrudnić w przyszłości rozwiązywanie problemów charakterystycznych dla danych obszarów </w:t>
      </w:r>
      <w:r w:rsidR="00483506">
        <w:rPr>
          <w:szCs w:val="24"/>
        </w:rPr>
        <w:t xml:space="preserve">ze względu na </w:t>
      </w:r>
      <w:r w:rsidR="00834A97">
        <w:rPr>
          <w:szCs w:val="24"/>
        </w:rPr>
        <w:t xml:space="preserve">niedopasowanie kształcenia do </w:t>
      </w:r>
      <w:r w:rsidR="00907273">
        <w:rPr>
          <w:szCs w:val="24"/>
        </w:rPr>
        <w:t>tej</w:t>
      </w:r>
      <w:r w:rsidR="00483506">
        <w:rPr>
          <w:szCs w:val="24"/>
        </w:rPr>
        <w:t xml:space="preserve"> specyfiki</w:t>
      </w:r>
      <w:r w:rsidR="00834A97">
        <w:rPr>
          <w:szCs w:val="24"/>
        </w:rPr>
        <w:t>.</w:t>
      </w:r>
    </w:p>
    <w:p w:rsidR="004733FA" w:rsidRPr="00EE291C" w:rsidRDefault="008B7CF7" w:rsidP="00EE291C">
      <w:pPr>
        <w:pStyle w:val="Nagwek1"/>
        <w:rPr>
          <w:szCs w:val="29"/>
        </w:rPr>
      </w:pPr>
      <w:r w:rsidRPr="00EE291C">
        <w:rPr>
          <w:szCs w:val="29"/>
        </w:rPr>
        <w:t>Internacjonalizacja szkolnictwa wyższego na świecie</w:t>
      </w:r>
    </w:p>
    <w:p w:rsidR="00EE291C" w:rsidRDefault="00485A3A" w:rsidP="00EE291C">
      <w:pPr>
        <w:pStyle w:val="tekstpods"/>
      </w:pPr>
      <w:r w:rsidRPr="00EE291C">
        <w:t xml:space="preserve">Raport </w:t>
      </w:r>
      <w:r w:rsidR="00B51884" w:rsidRPr="00EE291C">
        <w:t>OECD</w:t>
      </w:r>
      <w:r w:rsidR="00EE291C">
        <w:t xml:space="preserve"> (2014)</w:t>
      </w:r>
      <w:r w:rsidR="00B51884" w:rsidRPr="00EE291C">
        <w:t xml:space="preserve"> </w:t>
      </w:r>
      <w:r w:rsidR="00BD172F" w:rsidRPr="00EE291C">
        <w:t>odnotowuje</w:t>
      </w:r>
      <w:r w:rsidRPr="00EE291C">
        <w:t xml:space="preserve">, że </w:t>
      </w:r>
      <w:r w:rsidR="00BD172F" w:rsidRPr="00EE291C">
        <w:t>w latach 2000</w:t>
      </w:r>
      <w:r w:rsidR="0023611F" w:rsidRPr="00EE291C">
        <w:t>–20</w:t>
      </w:r>
      <w:r w:rsidR="00BD172F" w:rsidRPr="00EE291C">
        <w:t>12</w:t>
      </w:r>
      <w:r w:rsidRPr="00EE291C">
        <w:t xml:space="preserve"> </w:t>
      </w:r>
      <w:r w:rsidR="00BD172F" w:rsidRPr="00EE291C">
        <w:t>liczba studentów na uczelniach wzrosła ponad dwukrotnie</w:t>
      </w:r>
      <w:r w:rsidR="00907273" w:rsidRPr="00EE291C">
        <w:t xml:space="preserve"> i zwiększała się</w:t>
      </w:r>
      <w:r w:rsidR="00BD172F" w:rsidRPr="00EE291C">
        <w:t xml:space="preserve"> średnio o</w:t>
      </w:r>
      <w:r w:rsidR="009E3A50" w:rsidRPr="00EE291C">
        <w:t xml:space="preserve"> 7 punktów proc</w:t>
      </w:r>
      <w:r w:rsidR="004E64E6" w:rsidRPr="00EE291C">
        <w:t>.</w:t>
      </w:r>
      <w:r w:rsidR="00BD172F" w:rsidRPr="00EE291C">
        <w:t xml:space="preserve"> rocznie. </w:t>
      </w:r>
      <w:r w:rsidR="00BF2291" w:rsidRPr="00EE291C">
        <w:t>W tym samym czasie</w:t>
      </w:r>
      <w:r w:rsidRPr="00EE291C">
        <w:t xml:space="preserve"> nastąpił</w:t>
      </w:r>
      <w:r w:rsidR="00BD172F" w:rsidRPr="00EE291C">
        <w:t xml:space="preserve"> też</w:t>
      </w:r>
      <w:r w:rsidRPr="00EE291C">
        <w:t xml:space="preserve"> ogromny wzrost</w:t>
      </w:r>
      <w:r w:rsidR="002E4CFA" w:rsidRPr="00EE291C">
        <w:t xml:space="preserve"> liczby</w:t>
      </w:r>
      <w:r w:rsidRPr="00EE291C">
        <w:t xml:space="preserve"> rekrutacji zagranicznych, </w:t>
      </w:r>
      <w:r w:rsidR="002E4CFA" w:rsidRPr="00EE291C">
        <w:t>z</w:t>
      </w:r>
      <w:r w:rsidRPr="00EE291C">
        <w:t xml:space="preserve"> </w:t>
      </w:r>
      <w:r w:rsidR="00BF2291" w:rsidRPr="00EE291C">
        <w:t>ok. 2,5</w:t>
      </w:r>
      <w:r w:rsidRPr="00EE291C">
        <w:t xml:space="preserve"> miliona do 4,</w:t>
      </w:r>
      <w:r w:rsidR="009C3581" w:rsidRPr="00EE291C">
        <w:t>5</w:t>
      </w:r>
      <w:r w:rsidRPr="00EE291C">
        <w:t xml:space="preserve"> miliona w roku 201</w:t>
      </w:r>
      <w:r w:rsidR="009C3581" w:rsidRPr="00EE291C">
        <w:t>2</w:t>
      </w:r>
      <w:r w:rsidRPr="00EE291C">
        <w:t>.</w:t>
      </w:r>
    </w:p>
    <w:p w:rsidR="008B7CF7" w:rsidRPr="00EE291C" w:rsidRDefault="008468B5" w:rsidP="00EE291C">
      <w:pPr>
        <w:pStyle w:val="tekstpods"/>
      </w:pPr>
      <w:r w:rsidRPr="006055E0">
        <w:rPr>
          <w:szCs w:val="24"/>
        </w:rPr>
        <w:t>Ponad 8</w:t>
      </w:r>
      <w:r w:rsidR="00BD172F">
        <w:rPr>
          <w:szCs w:val="24"/>
        </w:rPr>
        <w:t>2</w:t>
      </w:r>
      <w:r w:rsidR="002E4CFA">
        <w:rPr>
          <w:szCs w:val="24"/>
        </w:rPr>
        <w:t xml:space="preserve"> proc.</w:t>
      </w:r>
      <w:r w:rsidRPr="006055E0">
        <w:rPr>
          <w:szCs w:val="24"/>
        </w:rPr>
        <w:t xml:space="preserve"> studentów</w:t>
      </w:r>
      <w:r w:rsidR="00184F79" w:rsidRPr="006055E0">
        <w:rPr>
          <w:szCs w:val="24"/>
        </w:rPr>
        <w:t xml:space="preserve"> </w:t>
      </w:r>
      <w:r w:rsidR="002C5B3F">
        <w:rPr>
          <w:szCs w:val="24"/>
        </w:rPr>
        <w:t>zagranicznych</w:t>
      </w:r>
      <w:r w:rsidR="00BF2291">
        <w:rPr>
          <w:szCs w:val="24"/>
        </w:rPr>
        <w:t xml:space="preserve"> </w:t>
      </w:r>
      <w:r w:rsidR="00D56403">
        <w:rPr>
          <w:szCs w:val="24"/>
        </w:rPr>
        <w:t>uczy się w krajach</w:t>
      </w:r>
      <w:r w:rsidRPr="006055E0">
        <w:rPr>
          <w:szCs w:val="24"/>
        </w:rPr>
        <w:t xml:space="preserve"> G20, 7</w:t>
      </w:r>
      <w:r w:rsidR="002C5B3F">
        <w:rPr>
          <w:szCs w:val="24"/>
        </w:rPr>
        <w:t>5</w:t>
      </w:r>
      <w:r w:rsidR="002E4CFA">
        <w:rPr>
          <w:szCs w:val="24"/>
        </w:rPr>
        <w:t xml:space="preserve"> proc.</w:t>
      </w:r>
      <w:r w:rsidRPr="006055E0">
        <w:rPr>
          <w:szCs w:val="24"/>
        </w:rPr>
        <w:t xml:space="preserve"> </w:t>
      </w:r>
      <w:r w:rsidR="002C5B3F">
        <w:rPr>
          <w:szCs w:val="24"/>
        </w:rPr>
        <w:t>obcokrajowców</w:t>
      </w:r>
      <w:r w:rsidRPr="006055E0">
        <w:rPr>
          <w:szCs w:val="24"/>
        </w:rPr>
        <w:t xml:space="preserve"> studiuje w krajach z grupy OECD</w:t>
      </w:r>
      <w:r w:rsidR="002E4CFA">
        <w:rPr>
          <w:szCs w:val="24"/>
        </w:rPr>
        <w:t>, przy czym państwa</w:t>
      </w:r>
      <w:r w:rsidR="00184F79" w:rsidRPr="006055E0">
        <w:rPr>
          <w:szCs w:val="24"/>
        </w:rPr>
        <w:t xml:space="preserve"> EU21 przyjmuj</w:t>
      </w:r>
      <w:r w:rsidR="002E4CFA">
        <w:rPr>
          <w:szCs w:val="24"/>
        </w:rPr>
        <w:t>ą</w:t>
      </w:r>
      <w:r w:rsidR="00184F79" w:rsidRPr="006055E0">
        <w:rPr>
          <w:szCs w:val="24"/>
        </w:rPr>
        <w:t xml:space="preserve"> największą liczbę </w:t>
      </w:r>
      <w:r w:rsidR="00967BA9">
        <w:rPr>
          <w:szCs w:val="24"/>
        </w:rPr>
        <w:t xml:space="preserve">spośród </w:t>
      </w:r>
      <w:r w:rsidR="00BF2291">
        <w:rPr>
          <w:szCs w:val="24"/>
        </w:rPr>
        <w:t xml:space="preserve">tych </w:t>
      </w:r>
      <w:r w:rsidR="00184F79" w:rsidRPr="006055E0">
        <w:rPr>
          <w:szCs w:val="24"/>
        </w:rPr>
        <w:t>studentów zagranicznych</w:t>
      </w:r>
      <w:r w:rsidR="00BF2291">
        <w:rPr>
          <w:szCs w:val="24"/>
        </w:rPr>
        <w:t xml:space="preserve">, bo aż </w:t>
      </w:r>
      <w:r w:rsidR="002C5B3F">
        <w:rPr>
          <w:szCs w:val="24"/>
        </w:rPr>
        <w:t>98 proc</w:t>
      </w:r>
      <w:r w:rsidR="0023611F">
        <w:rPr>
          <w:szCs w:val="24"/>
        </w:rPr>
        <w:t>.</w:t>
      </w:r>
      <w:r w:rsidR="00EE291C">
        <w:rPr>
          <w:szCs w:val="24"/>
        </w:rPr>
        <w:t xml:space="preserve"> (</w:t>
      </w:r>
      <w:r w:rsidR="00BF2291">
        <w:rPr>
          <w:szCs w:val="24"/>
        </w:rPr>
        <w:t>OECD</w:t>
      </w:r>
      <w:r w:rsidR="00EE291C">
        <w:rPr>
          <w:szCs w:val="24"/>
        </w:rPr>
        <w:t>, 2014</w:t>
      </w:r>
      <w:r w:rsidR="00BF2291">
        <w:rPr>
          <w:szCs w:val="24"/>
        </w:rPr>
        <w:t>)</w:t>
      </w:r>
      <w:r w:rsidR="00184F79" w:rsidRPr="006055E0">
        <w:rPr>
          <w:szCs w:val="24"/>
        </w:rPr>
        <w:t xml:space="preserve">. </w:t>
      </w:r>
      <w:r w:rsidR="00907273">
        <w:rPr>
          <w:szCs w:val="24"/>
        </w:rPr>
        <w:t>B</w:t>
      </w:r>
      <w:r w:rsidR="00966C8A">
        <w:rPr>
          <w:szCs w:val="24"/>
        </w:rPr>
        <w:t xml:space="preserve">ardzo </w:t>
      </w:r>
      <w:r w:rsidR="00184F79" w:rsidRPr="006055E0">
        <w:rPr>
          <w:szCs w:val="24"/>
        </w:rPr>
        <w:t>atrakcyjn</w:t>
      </w:r>
      <w:r w:rsidR="002E4CFA">
        <w:rPr>
          <w:szCs w:val="24"/>
        </w:rPr>
        <w:t>ym</w:t>
      </w:r>
      <w:r w:rsidR="00184F79" w:rsidRPr="006055E0">
        <w:rPr>
          <w:szCs w:val="24"/>
        </w:rPr>
        <w:t xml:space="preserve"> </w:t>
      </w:r>
      <w:r w:rsidR="002E4CFA">
        <w:rPr>
          <w:szCs w:val="24"/>
        </w:rPr>
        <w:t>kierunkiem</w:t>
      </w:r>
      <w:r w:rsidR="00184F79" w:rsidRPr="006055E0">
        <w:rPr>
          <w:szCs w:val="24"/>
        </w:rPr>
        <w:t xml:space="preserve"> jest Ameryka Północna</w:t>
      </w:r>
      <w:r w:rsidR="002E4CFA">
        <w:rPr>
          <w:szCs w:val="24"/>
        </w:rPr>
        <w:t xml:space="preserve"> – </w:t>
      </w:r>
      <w:r w:rsidR="00184F79" w:rsidRPr="006055E0">
        <w:rPr>
          <w:szCs w:val="24"/>
        </w:rPr>
        <w:t>trafia tam 21</w:t>
      </w:r>
      <w:r w:rsidR="00BD6F23">
        <w:rPr>
          <w:szCs w:val="24"/>
        </w:rPr>
        <w:t xml:space="preserve"> proc. </w:t>
      </w:r>
      <w:r w:rsidR="00D56403">
        <w:rPr>
          <w:szCs w:val="24"/>
        </w:rPr>
        <w:t>ogólnej liczby studentów zagranicznych</w:t>
      </w:r>
      <w:r w:rsidR="00184F79" w:rsidRPr="006055E0">
        <w:rPr>
          <w:szCs w:val="24"/>
        </w:rPr>
        <w:t>, przy czym są to studenci dużo bardziej zdywersyfikowani</w:t>
      </w:r>
      <w:r w:rsidR="00E5255C" w:rsidRPr="006055E0">
        <w:rPr>
          <w:szCs w:val="24"/>
        </w:rPr>
        <w:t xml:space="preserve"> niż w Europie, gdzie ruch w dużej mierze odbywa się między krajami sąsiedzkimi</w:t>
      </w:r>
      <w:r w:rsidR="00966C8A">
        <w:rPr>
          <w:szCs w:val="24"/>
        </w:rPr>
        <w:t xml:space="preserve"> </w:t>
      </w:r>
      <w:r w:rsidR="00184F79" w:rsidRPr="006055E0">
        <w:rPr>
          <w:szCs w:val="24"/>
        </w:rPr>
        <w:t>(tylko 4</w:t>
      </w:r>
      <w:r w:rsidR="00966C8A">
        <w:rPr>
          <w:szCs w:val="24"/>
        </w:rPr>
        <w:t xml:space="preserve"> proc.</w:t>
      </w:r>
      <w:r w:rsidR="00184F79" w:rsidRPr="006055E0">
        <w:rPr>
          <w:szCs w:val="24"/>
        </w:rPr>
        <w:t xml:space="preserve"> studentów zagranicznych w USA to studenci z Kanad</w:t>
      </w:r>
      <w:r w:rsidR="002C5B3F">
        <w:rPr>
          <w:szCs w:val="24"/>
        </w:rPr>
        <w:t xml:space="preserve">y, chociaż za granicą studiuje aż 53 proc. </w:t>
      </w:r>
      <w:r w:rsidR="0089012E">
        <w:rPr>
          <w:szCs w:val="24"/>
        </w:rPr>
        <w:t>Kanadyjczyków</w:t>
      </w:r>
      <w:r w:rsidR="002C5B3F">
        <w:rPr>
          <w:szCs w:val="24"/>
        </w:rPr>
        <w:t>;</w:t>
      </w:r>
      <w:r w:rsidR="00184F79" w:rsidRPr="006055E0">
        <w:rPr>
          <w:szCs w:val="24"/>
        </w:rPr>
        <w:t xml:space="preserve"> </w:t>
      </w:r>
      <w:r w:rsidR="0089012E">
        <w:rPr>
          <w:szCs w:val="24"/>
        </w:rPr>
        <w:t xml:space="preserve">a tylko </w:t>
      </w:r>
      <w:r w:rsidR="002C5B3F">
        <w:rPr>
          <w:szCs w:val="24"/>
        </w:rPr>
        <w:t xml:space="preserve">6 </w:t>
      </w:r>
      <w:r w:rsidR="00966C8A">
        <w:rPr>
          <w:szCs w:val="24"/>
        </w:rPr>
        <w:t>proc.</w:t>
      </w:r>
      <w:r w:rsidR="00184F79" w:rsidRPr="006055E0">
        <w:rPr>
          <w:szCs w:val="24"/>
        </w:rPr>
        <w:t xml:space="preserve"> studentów zagranicznych w Kanadzie pochodzi z USA).</w:t>
      </w:r>
    </w:p>
    <w:p w:rsidR="00FC0510" w:rsidRDefault="00DE6866" w:rsidP="00B7157A">
      <w:pPr>
        <w:spacing w:after="0" w:line="360" w:lineRule="auto"/>
        <w:jc w:val="both"/>
        <w:rPr>
          <w:rFonts w:ascii="Times New Roman" w:hAnsi="Times New Roman" w:cs="Times New Roman"/>
          <w:b/>
          <w:sz w:val="24"/>
          <w:szCs w:val="24"/>
        </w:rPr>
      </w:pPr>
      <w:r>
        <w:rPr>
          <w:noProof/>
          <w:lang w:eastAsia="pl-PL"/>
        </w:rPr>
        <w:drawing>
          <wp:inline distT="0" distB="0" distL="0" distR="0" wp14:anchorId="122AB88F" wp14:editId="320DEB84">
            <wp:extent cx="5731510" cy="2632985"/>
            <wp:effectExtent l="0" t="0" r="254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E291C" w:rsidRDefault="00EE291C" w:rsidP="00EE291C">
      <w:pPr>
        <w:pStyle w:val="tekstpods"/>
        <w:spacing w:line="240" w:lineRule="auto"/>
        <w:ind w:firstLine="0"/>
      </w:pPr>
      <w:r>
        <w:t xml:space="preserve">Rys. 2. </w:t>
      </w:r>
      <w:r w:rsidRPr="00EE291C">
        <w:t>Kraje z najwyższym odsetkiem studentów zagranicznych (2012 r.)</w:t>
      </w:r>
    </w:p>
    <w:p w:rsidR="00EE291C" w:rsidRPr="00787ACA" w:rsidRDefault="00EE291C" w:rsidP="00EE291C">
      <w:pPr>
        <w:pStyle w:val="tekstpods"/>
        <w:spacing w:line="240" w:lineRule="auto"/>
        <w:ind w:firstLine="0"/>
        <w:rPr>
          <w:lang w:val="en-US"/>
        </w:rPr>
      </w:pPr>
      <w:r w:rsidRPr="00EE291C">
        <w:rPr>
          <w:lang w:val="en-US"/>
        </w:rPr>
        <w:t xml:space="preserve">Fig. 2. </w:t>
      </w:r>
      <w:r>
        <w:rPr>
          <w:lang w:val="en-US"/>
        </w:rPr>
        <w:t xml:space="preserve">Countries with the highest percentage of foreign students (2012) </w:t>
      </w:r>
    </w:p>
    <w:p w:rsidR="00EE291C" w:rsidRPr="00920528" w:rsidRDefault="00EE291C" w:rsidP="00EE291C">
      <w:pPr>
        <w:pStyle w:val="tekstpods"/>
        <w:spacing w:line="240" w:lineRule="auto"/>
        <w:ind w:firstLine="0"/>
      </w:pPr>
      <w:r w:rsidRPr="00920528">
        <w:t xml:space="preserve">Źródło: Opracowanie własne na podstawie </w:t>
      </w:r>
      <w:proofErr w:type="spellStart"/>
      <w:r w:rsidRPr="00920528">
        <w:t>Education</w:t>
      </w:r>
      <w:proofErr w:type="spellEnd"/>
      <w:r w:rsidRPr="00920528">
        <w:t xml:space="preserve"> </w:t>
      </w:r>
      <w:proofErr w:type="spellStart"/>
      <w:r w:rsidRPr="00920528">
        <w:t>at</w:t>
      </w:r>
      <w:proofErr w:type="spellEnd"/>
      <w:r w:rsidRPr="00920528">
        <w:t xml:space="preserve"> a </w:t>
      </w:r>
      <w:proofErr w:type="spellStart"/>
      <w:r w:rsidRPr="00920528">
        <w:t>Glance</w:t>
      </w:r>
      <w:proofErr w:type="spellEnd"/>
      <w:r w:rsidRPr="00920528">
        <w:t>, OECD 2014.</w:t>
      </w:r>
    </w:p>
    <w:p w:rsidR="008B7CF7" w:rsidRPr="006B297C" w:rsidRDefault="00D20A6F" w:rsidP="006B297C">
      <w:pPr>
        <w:pStyle w:val="tekstpods"/>
      </w:pPr>
      <w:r w:rsidRPr="006B297C">
        <w:lastRenderedPageBreak/>
        <w:t>Kraje, które cechuje największy stopień internacjonalizacji wyrażonej w stosunku</w:t>
      </w:r>
      <w:r w:rsidR="003431CA" w:rsidRPr="006B297C">
        <w:t xml:space="preserve"> liczby studentów zagranicznych</w:t>
      </w:r>
      <w:r w:rsidRPr="006B297C">
        <w:t xml:space="preserve"> do ogółu studentów, osiągają </w:t>
      </w:r>
      <w:r w:rsidR="00966C8A" w:rsidRPr="006B297C">
        <w:t xml:space="preserve">pod tym względem </w:t>
      </w:r>
      <w:r w:rsidRPr="006B297C">
        <w:t>wyniki ponad 15</w:t>
      </w:r>
      <w:r w:rsidR="00966C8A" w:rsidRPr="006B297C">
        <w:t xml:space="preserve"> proc.</w:t>
      </w:r>
      <w:r w:rsidRPr="006B297C">
        <w:t xml:space="preserve"> (Australia nawet ponad </w:t>
      </w:r>
      <w:r w:rsidR="00FC0510" w:rsidRPr="006B297C">
        <w:t>18</w:t>
      </w:r>
      <w:r w:rsidR="00966C8A" w:rsidRPr="006B297C">
        <w:t xml:space="preserve"> proc</w:t>
      </w:r>
      <w:r w:rsidR="00DD1684" w:rsidRPr="006B297C">
        <w:t>ent</w:t>
      </w:r>
      <w:r w:rsidRPr="006B297C">
        <w:t xml:space="preserve">). </w:t>
      </w:r>
      <w:r w:rsidR="00273929" w:rsidRPr="006B297C">
        <w:t>W ciągu ostatnich dziesięciu lat znacząco zmienił się</w:t>
      </w:r>
      <w:r w:rsidR="00235B3A" w:rsidRPr="006B297C">
        <w:t xml:space="preserve"> </w:t>
      </w:r>
      <w:r w:rsidRPr="006B297C">
        <w:t>jednak</w:t>
      </w:r>
      <w:r w:rsidR="00235B3A" w:rsidRPr="006B297C">
        <w:t xml:space="preserve"> układ głównych graczy</w:t>
      </w:r>
      <w:r w:rsidR="00966C8A" w:rsidRPr="006B297C">
        <w:t xml:space="preserve"> –</w:t>
      </w:r>
      <w:r w:rsidR="00235B3A" w:rsidRPr="006B297C">
        <w:t xml:space="preserve"> dość znacząco spadł udział Stanów Zjednoczonych</w:t>
      </w:r>
      <w:r w:rsidR="00966C8A" w:rsidRPr="006B297C">
        <w:t xml:space="preserve"> w tym rynku</w:t>
      </w:r>
      <w:r w:rsidR="00235B3A" w:rsidRPr="006B297C">
        <w:t xml:space="preserve">, głównie na rzecz Niemiec, Australii i Nowej Zelandii. Wzrosło też znaczenie Wielkiej Brytanii oraz Federacji Rosyjskiej. </w:t>
      </w:r>
      <w:r w:rsidR="00DD1684" w:rsidRPr="006B297C">
        <w:t>W 2012 r. ś</w:t>
      </w:r>
      <w:r w:rsidR="00012E88" w:rsidRPr="006B297C">
        <w:t xml:space="preserve">redni współczynnik umiędzynarodowienia studiów dla krajów OECD wyniósł 7,14 procent. </w:t>
      </w:r>
      <w:r w:rsidR="00DD1684" w:rsidRPr="006B297C">
        <w:t>Kraje</w:t>
      </w:r>
      <w:r w:rsidR="003A4687" w:rsidRPr="006B297C">
        <w:t xml:space="preserve">, które zdominowały rynek </w:t>
      </w:r>
      <w:r w:rsidR="00FB4898" w:rsidRPr="006B297C">
        <w:t xml:space="preserve">studiów dla obcokrajowców </w:t>
      </w:r>
      <w:r w:rsidR="00DD1684" w:rsidRPr="006B297C">
        <w:t>to</w:t>
      </w:r>
      <w:r w:rsidR="00FB4898" w:rsidRPr="006B297C">
        <w:t>: USA (1</w:t>
      </w:r>
      <w:r w:rsidR="00FC0510" w:rsidRPr="006B297C">
        <w:t>9</w:t>
      </w:r>
      <w:r w:rsidR="00966C8A" w:rsidRPr="006B297C">
        <w:t xml:space="preserve"> proc.</w:t>
      </w:r>
      <w:r w:rsidR="00DE6866" w:rsidRPr="006B297C">
        <w:t xml:space="preserve"> udziału w</w:t>
      </w:r>
      <w:r w:rsidR="00FC0510" w:rsidRPr="006B297C">
        <w:t xml:space="preserve"> rynku</w:t>
      </w:r>
      <w:r w:rsidR="00FB4898" w:rsidRPr="006B297C">
        <w:t>), Wielka Brytania (1</w:t>
      </w:r>
      <w:r w:rsidR="00FC0510" w:rsidRPr="006B297C">
        <w:t>1</w:t>
      </w:r>
      <w:r w:rsidR="00966C8A" w:rsidRPr="006B297C">
        <w:t xml:space="preserve"> proc.</w:t>
      </w:r>
      <w:r w:rsidR="002C5B3F" w:rsidRPr="006B297C">
        <w:t xml:space="preserve"> </w:t>
      </w:r>
      <w:r w:rsidR="00DE6866" w:rsidRPr="006B297C">
        <w:t xml:space="preserve">udziału w </w:t>
      </w:r>
      <w:r w:rsidR="00FC0510" w:rsidRPr="006B297C">
        <w:t>rynku</w:t>
      </w:r>
      <w:r w:rsidR="00FB4898" w:rsidRPr="006B297C">
        <w:t xml:space="preserve">), </w:t>
      </w:r>
      <w:r w:rsidR="00FC0510" w:rsidRPr="006B297C">
        <w:t xml:space="preserve">Chiny (8 proc. </w:t>
      </w:r>
      <w:r w:rsidR="00DE6866" w:rsidRPr="006B297C">
        <w:t xml:space="preserve">udziału w </w:t>
      </w:r>
      <w:r w:rsidR="00FC0510" w:rsidRPr="006B297C">
        <w:t xml:space="preserve">rynku), Francja (7 proc. </w:t>
      </w:r>
      <w:r w:rsidR="00DE6866" w:rsidRPr="006B297C">
        <w:t xml:space="preserve">udziału w </w:t>
      </w:r>
      <w:r w:rsidR="00FC0510" w:rsidRPr="006B297C">
        <w:t xml:space="preserve">rynku) </w:t>
      </w:r>
      <w:r w:rsidR="00FB4898" w:rsidRPr="006B297C">
        <w:t>oraz Australia</w:t>
      </w:r>
      <w:r w:rsidR="00FC0510" w:rsidRPr="006B297C">
        <w:t xml:space="preserve"> i</w:t>
      </w:r>
      <w:r w:rsidR="00FB4898" w:rsidRPr="006B297C">
        <w:t xml:space="preserve"> Niemcy</w:t>
      </w:r>
      <w:r w:rsidR="002C5B3F" w:rsidRPr="006B297C">
        <w:t xml:space="preserve"> </w:t>
      </w:r>
      <w:r w:rsidR="00FB4898" w:rsidRPr="006B297C">
        <w:t xml:space="preserve">(po </w:t>
      </w:r>
      <w:r w:rsidR="00FC0510" w:rsidRPr="006B297C">
        <w:t>6</w:t>
      </w:r>
      <w:r w:rsidR="00DE6866" w:rsidRPr="006B297C">
        <w:t xml:space="preserve"> proc. udziału w</w:t>
      </w:r>
      <w:r w:rsidR="00FC0510" w:rsidRPr="006B297C">
        <w:t xml:space="preserve"> rynku</w:t>
      </w:r>
      <w:r w:rsidR="00FB4898" w:rsidRPr="006B297C">
        <w:t>)</w:t>
      </w:r>
      <w:r w:rsidR="00FC0510" w:rsidRPr="006B297C">
        <w:t>.</w:t>
      </w:r>
      <w:r w:rsidR="00FB4898" w:rsidRPr="006B297C">
        <w:t xml:space="preserve"> </w:t>
      </w:r>
      <w:r w:rsidR="00B224E9" w:rsidRPr="006B297C">
        <w:t>Wpływ na tak wysoki</w:t>
      </w:r>
      <w:r w:rsidR="00DE6866" w:rsidRPr="006B297C">
        <w:t xml:space="preserve">e wskaźniki internacjonalizacji oraz na taki a nie inny podział rynku edukacji międzynarodowej </w:t>
      </w:r>
      <w:r w:rsidR="00B224E9" w:rsidRPr="006B297C">
        <w:t>ma niewątpliwie język kształcenia</w:t>
      </w:r>
      <w:r w:rsidR="00767421" w:rsidRPr="006B297C">
        <w:t xml:space="preserve"> i jego popularność na świecie. Do języków sprzyjających </w:t>
      </w:r>
      <w:r w:rsidR="00DE6866" w:rsidRPr="006B297C">
        <w:t>internacjonalizacji</w:t>
      </w:r>
      <w:r w:rsidR="00767421" w:rsidRPr="006B297C">
        <w:t xml:space="preserve"> zaliczamy, poza angielskim: niemiecki, francuski, hiszpański</w:t>
      </w:r>
      <w:r w:rsidR="00DD1684" w:rsidRPr="006B297C">
        <w:t xml:space="preserve"> i </w:t>
      </w:r>
      <w:r w:rsidR="00767421" w:rsidRPr="006B297C">
        <w:t xml:space="preserve">rosyjski. Ciekawym wyjątkiem jest Japonia, która pomimo stosowania w kształceniu zasadniczo języka rodzimego, przyciąga ogromne rzesze studentów zagranicznych, </w:t>
      </w:r>
      <w:r w:rsidR="00DE6866" w:rsidRPr="006B297C">
        <w:t>głó</w:t>
      </w:r>
      <w:r w:rsidRPr="006B297C">
        <w:t>wnie z Azji (93</w:t>
      </w:r>
      <w:r w:rsidR="00966C8A" w:rsidRPr="006B297C">
        <w:t xml:space="preserve"> proc</w:t>
      </w:r>
      <w:r w:rsidR="00DD1684" w:rsidRPr="006B297C">
        <w:t>ent</w:t>
      </w:r>
      <w:r w:rsidRPr="006B297C">
        <w:t xml:space="preserve">). Azjaci zresztą, </w:t>
      </w:r>
      <w:r w:rsidR="00DE6866" w:rsidRPr="006B297C">
        <w:t>a w szczególności</w:t>
      </w:r>
      <w:r w:rsidRPr="006B297C">
        <w:t xml:space="preserve"> Chińczycy, Hindusi i Koreańczycy, stanowią ponad połowę ogólnej liczby studiujących poza krajem ojczystym. W</w:t>
      </w:r>
      <w:r w:rsidR="00767421" w:rsidRPr="006B297C">
        <w:t xml:space="preserve"> krajach nieanglojęzycznych rośnie</w:t>
      </w:r>
      <w:r w:rsidRPr="006B297C">
        <w:t xml:space="preserve"> tymczasem</w:t>
      </w:r>
      <w:r w:rsidR="00767421" w:rsidRPr="006B297C">
        <w:t xml:space="preserve"> liczba instytucji, które decydują się na oferowanie pojedynczych zajęć lub całych programów w języku angielskim. Trend ten szczególnie </w:t>
      </w:r>
      <w:r w:rsidR="0089012E" w:rsidRPr="006B297C">
        <w:t>widoczny jest w</w:t>
      </w:r>
      <w:r w:rsidR="00767421" w:rsidRPr="006B297C">
        <w:t xml:space="preserve"> krajach, w których język angielski jest dość powszechnie wykorzystywany, </w:t>
      </w:r>
      <w:r w:rsidR="00DD1684" w:rsidRPr="006B297C">
        <w:t>np.</w:t>
      </w:r>
      <w:r w:rsidR="00762F70" w:rsidRPr="006B297C">
        <w:t xml:space="preserve"> w krajach nordyckich.</w:t>
      </w:r>
    </w:p>
    <w:p w:rsidR="00EE291C" w:rsidRPr="000935B0" w:rsidRDefault="00EE291C" w:rsidP="00EE291C">
      <w:pPr>
        <w:pStyle w:val="tekstpods"/>
        <w:ind w:firstLine="0"/>
        <w:jc w:val="right"/>
      </w:pPr>
      <w:r w:rsidRPr="000935B0">
        <w:t>Tabela 1</w:t>
      </w:r>
    </w:p>
    <w:p w:rsidR="00767421" w:rsidRPr="006055E0" w:rsidRDefault="006B297C" w:rsidP="006B297C">
      <w:pPr>
        <w:spacing w:after="0" w:line="360" w:lineRule="auto"/>
        <w:jc w:val="center"/>
        <w:rPr>
          <w:rFonts w:ascii="Times New Roman" w:hAnsi="Times New Roman" w:cs="Times New Roman"/>
          <w:b/>
          <w:sz w:val="24"/>
          <w:szCs w:val="24"/>
        </w:rPr>
      </w:pPr>
      <w:r w:rsidRPr="006B297C">
        <w:rPr>
          <w:rFonts w:ascii="Times New Roman" w:eastAsia="Times New Roman" w:hAnsi="Times New Roman" w:cs="Times New Roman"/>
          <w:sz w:val="24"/>
          <w:szCs w:val="20"/>
          <w:lang w:eastAsia="pl-PL"/>
        </w:rPr>
        <w:t>Kraje oferujące studia w języku angielskim (2012 r.)</w:t>
      </w:r>
    </w:p>
    <w:tbl>
      <w:tblPr>
        <w:tblStyle w:val="Tabela-Siatka"/>
        <w:tblW w:w="0" w:type="auto"/>
        <w:tblLook w:val="04A0" w:firstRow="1" w:lastRow="0" w:firstColumn="1" w:lastColumn="0" w:noHBand="0" w:noVBand="1"/>
      </w:tblPr>
      <w:tblGrid>
        <w:gridCol w:w="4361"/>
        <w:gridCol w:w="4805"/>
      </w:tblGrid>
      <w:tr w:rsidR="00982448" w:rsidRPr="006055E0" w:rsidTr="005822BE">
        <w:tc>
          <w:tcPr>
            <w:tcW w:w="9166" w:type="dxa"/>
            <w:gridSpan w:val="2"/>
          </w:tcPr>
          <w:p w:rsidR="00982448" w:rsidRPr="006B297C" w:rsidRDefault="00982448" w:rsidP="00DD1684">
            <w:pPr>
              <w:spacing w:line="360" w:lineRule="auto"/>
              <w:jc w:val="center"/>
              <w:rPr>
                <w:rFonts w:ascii="Times New Roman" w:hAnsi="Times New Roman" w:cs="Times New Roman"/>
                <w:b/>
                <w:sz w:val="20"/>
                <w:szCs w:val="20"/>
              </w:rPr>
            </w:pPr>
            <w:r w:rsidRPr="006B297C">
              <w:rPr>
                <w:rFonts w:ascii="Times New Roman" w:hAnsi="Times New Roman" w:cs="Times New Roman"/>
                <w:b/>
                <w:sz w:val="20"/>
                <w:szCs w:val="20"/>
              </w:rPr>
              <w:t>Wykorzystanie języka w nauczaniu</w:t>
            </w:r>
          </w:p>
        </w:tc>
      </w:tr>
      <w:tr w:rsidR="00982448" w:rsidRPr="006055E0" w:rsidTr="00982448">
        <w:tc>
          <w:tcPr>
            <w:tcW w:w="4361" w:type="dxa"/>
          </w:tcPr>
          <w:p w:rsidR="006763FE" w:rsidRPr="006B297C" w:rsidRDefault="00982448" w:rsidP="00DD1684">
            <w:pPr>
              <w:rPr>
                <w:rFonts w:ascii="Times New Roman" w:hAnsi="Times New Roman" w:cs="Times New Roman"/>
                <w:sz w:val="20"/>
                <w:szCs w:val="20"/>
              </w:rPr>
            </w:pPr>
            <w:r w:rsidRPr="006B297C">
              <w:rPr>
                <w:rFonts w:ascii="Times New Roman" w:hAnsi="Times New Roman" w:cs="Times New Roman"/>
                <w:sz w:val="20"/>
                <w:szCs w:val="20"/>
              </w:rPr>
              <w:t>Wszystkie lub prawie wszystkie programy oferowane w jęz. angielskim</w:t>
            </w:r>
          </w:p>
        </w:tc>
        <w:tc>
          <w:tcPr>
            <w:tcW w:w="4805" w:type="dxa"/>
          </w:tcPr>
          <w:p w:rsidR="006763FE" w:rsidRPr="006B297C" w:rsidRDefault="00982448" w:rsidP="00DD1684">
            <w:pPr>
              <w:rPr>
                <w:rFonts w:ascii="Times New Roman" w:hAnsi="Times New Roman" w:cs="Times New Roman"/>
                <w:sz w:val="20"/>
                <w:szCs w:val="20"/>
              </w:rPr>
            </w:pPr>
            <w:r w:rsidRPr="006B297C">
              <w:rPr>
                <w:rFonts w:ascii="Times New Roman" w:hAnsi="Times New Roman" w:cs="Times New Roman"/>
                <w:sz w:val="20"/>
                <w:szCs w:val="20"/>
              </w:rPr>
              <w:t>Australia, Kanada, Irlandia, Nowa Zelandia, Wielka Brytania, USA</w:t>
            </w:r>
          </w:p>
        </w:tc>
      </w:tr>
      <w:tr w:rsidR="00982448" w:rsidRPr="006055E0" w:rsidTr="00982448">
        <w:tc>
          <w:tcPr>
            <w:tcW w:w="4361" w:type="dxa"/>
          </w:tcPr>
          <w:p w:rsidR="006763FE" w:rsidRPr="006B297C" w:rsidRDefault="00982448" w:rsidP="00DD1684">
            <w:pPr>
              <w:rPr>
                <w:rFonts w:ascii="Times New Roman" w:hAnsi="Times New Roman" w:cs="Times New Roman"/>
                <w:sz w:val="20"/>
                <w:szCs w:val="20"/>
              </w:rPr>
            </w:pPr>
            <w:r w:rsidRPr="006B297C">
              <w:rPr>
                <w:rFonts w:ascii="Times New Roman" w:hAnsi="Times New Roman" w:cs="Times New Roman"/>
                <w:sz w:val="20"/>
                <w:szCs w:val="20"/>
              </w:rPr>
              <w:t>Wiele programów oferowanych w jęz. angielskim</w:t>
            </w:r>
          </w:p>
        </w:tc>
        <w:tc>
          <w:tcPr>
            <w:tcW w:w="4805" w:type="dxa"/>
          </w:tcPr>
          <w:p w:rsidR="006763FE" w:rsidRPr="006B297C" w:rsidRDefault="00982448" w:rsidP="00DD1684">
            <w:pPr>
              <w:rPr>
                <w:rFonts w:ascii="Times New Roman" w:hAnsi="Times New Roman" w:cs="Times New Roman"/>
                <w:sz w:val="20"/>
                <w:szCs w:val="20"/>
              </w:rPr>
            </w:pPr>
            <w:r w:rsidRPr="006B297C">
              <w:rPr>
                <w:rFonts w:ascii="Times New Roman" w:hAnsi="Times New Roman" w:cs="Times New Roman"/>
                <w:sz w:val="20"/>
                <w:szCs w:val="20"/>
              </w:rPr>
              <w:t>Dania, Finlandia, Holandia, Szwecja</w:t>
            </w:r>
          </w:p>
        </w:tc>
      </w:tr>
      <w:tr w:rsidR="00982448" w:rsidRPr="006055E0" w:rsidTr="00982448">
        <w:tc>
          <w:tcPr>
            <w:tcW w:w="4361" w:type="dxa"/>
          </w:tcPr>
          <w:p w:rsidR="006763FE" w:rsidRPr="006B297C" w:rsidRDefault="00982448" w:rsidP="00DD1684">
            <w:pPr>
              <w:rPr>
                <w:rFonts w:ascii="Times New Roman" w:hAnsi="Times New Roman" w:cs="Times New Roman"/>
                <w:sz w:val="20"/>
                <w:szCs w:val="20"/>
              </w:rPr>
            </w:pPr>
            <w:r w:rsidRPr="006B297C">
              <w:rPr>
                <w:rFonts w:ascii="Times New Roman" w:hAnsi="Times New Roman" w:cs="Times New Roman"/>
                <w:sz w:val="20"/>
                <w:szCs w:val="20"/>
              </w:rPr>
              <w:t>Kilka programów oferowanych w języku angielskim</w:t>
            </w:r>
          </w:p>
        </w:tc>
        <w:tc>
          <w:tcPr>
            <w:tcW w:w="4805" w:type="dxa"/>
          </w:tcPr>
          <w:p w:rsidR="006763FE" w:rsidRPr="006B297C" w:rsidRDefault="00982448" w:rsidP="00DD1684">
            <w:pPr>
              <w:rPr>
                <w:rFonts w:ascii="Times New Roman" w:hAnsi="Times New Roman" w:cs="Times New Roman"/>
                <w:sz w:val="20"/>
                <w:szCs w:val="20"/>
              </w:rPr>
            </w:pPr>
            <w:r w:rsidRPr="006B297C">
              <w:rPr>
                <w:rFonts w:ascii="Times New Roman" w:hAnsi="Times New Roman" w:cs="Times New Roman"/>
                <w:sz w:val="20"/>
                <w:szCs w:val="20"/>
              </w:rPr>
              <w:t xml:space="preserve">Belgia, Czechy, Francja, Niemcy, Węgry, Islandia, Japonia, Korea, Norwegia, Polska, Portugalia, Słowacja, </w:t>
            </w:r>
            <w:r w:rsidR="002C5B3F" w:rsidRPr="006B297C">
              <w:rPr>
                <w:rFonts w:ascii="Times New Roman" w:hAnsi="Times New Roman" w:cs="Times New Roman"/>
                <w:sz w:val="20"/>
                <w:szCs w:val="20"/>
              </w:rPr>
              <w:t>Hiszpania, Szwajcaria, Turcja</w:t>
            </w:r>
          </w:p>
        </w:tc>
      </w:tr>
      <w:tr w:rsidR="00982448" w:rsidRPr="006055E0" w:rsidTr="00982448">
        <w:tc>
          <w:tcPr>
            <w:tcW w:w="4361" w:type="dxa"/>
          </w:tcPr>
          <w:p w:rsidR="006763FE" w:rsidRPr="006B297C" w:rsidRDefault="004354DC" w:rsidP="00DD1684">
            <w:pPr>
              <w:rPr>
                <w:rFonts w:ascii="Times New Roman" w:hAnsi="Times New Roman" w:cs="Times New Roman"/>
                <w:sz w:val="20"/>
                <w:szCs w:val="20"/>
              </w:rPr>
            </w:pPr>
            <w:r w:rsidRPr="006B297C">
              <w:rPr>
                <w:rFonts w:ascii="Times New Roman" w:hAnsi="Times New Roman" w:cs="Times New Roman"/>
                <w:sz w:val="20"/>
                <w:szCs w:val="20"/>
              </w:rPr>
              <w:t>C</w:t>
            </w:r>
            <w:r w:rsidR="00982448" w:rsidRPr="006B297C">
              <w:rPr>
                <w:rFonts w:ascii="Times New Roman" w:hAnsi="Times New Roman" w:cs="Times New Roman"/>
                <w:sz w:val="20"/>
                <w:szCs w:val="20"/>
              </w:rPr>
              <w:t>ałkowity</w:t>
            </w:r>
            <w:r w:rsidRPr="006B297C">
              <w:rPr>
                <w:rFonts w:ascii="Times New Roman" w:hAnsi="Times New Roman" w:cs="Times New Roman"/>
                <w:sz w:val="20"/>
                <w:szCs w:val="20"/>
              </w:rPr>
              <w:t xml:space="preserve"> brak lub prawie całkowity brak</w:t>
            </w:r>
            <w:r w:rsidR="00982448" w:rsidRPr="006B297C">
              <w:rPr>
                <w:rFonts w:ascii="Times New Roman" w:hAnsi="Times New Roman" w:cs="Times New Roman"/>
                <w:sz w:val="20"/>
                <w:szCs w:val="20"/>
              </w:rPr>
              <w:t xml:space="preserve"> programów oferowanych w jęz. angielskim</w:t>
            </w:r>
          </w:p>
        </w:tc>
        <w:tc>
          <w:tcPr>
            <w:tcW w:w="4805" w:type="dxa"/>
          </w:tcPr>
          <w:p w:rsidR="006763FE" w:rsidRPr="006B297C" w:rsidRDefault="00982448" w:rsidP="00DD1684">
            <w:pPr>
              <w:rPr>
                <w:rFonts w:ascii="Times New Roman" w:hAnsi="Times New Roman" w:cs="Times New Roman"/>
                <w:sz w:val="20"/>
                <w:szCs w:val="20"/>
              </w:rPr>
            </w:pPr>
            <w:r w:rsidRPr="006B297C">
              <w:rPr>
                <w:rFonts w:ascii="Times New Roman" w:hAnsi="Times New Roman" w:cs="Times New Roman"/>
                <w:sz w:val="20"/>
                <w:szCs w:val="20"/>
              </w:rPr>
              <w:t>Austria, Belgia, Brazylia, Chile, Gr</w:t>
            </w:r>
            <w:r w:rsidR="002C5B3F" w:rsidRPr="006B297C">
              <w:rPr>
                <w:rFonts w:ascii="Times New Roman" w:hAnsi="Times New Roman" w:cs="Times New Roman"/>
                <w:sz w:val="20"/>
                <w:szCs w:val="20"/>
              </w:rPr>
              <w:t>e</w:t>
            </w:r>
            <w:r w:rsidRPr="006B297C">
              <w:rPr>
                <w:rFonts w:ascii="Times New Roman" w:hAnsi="Times New Roman" w:cs="Times New Roman"/>
                <w:sz w:val="20"/>
                <w:szCs w:val="20"/>
              </w:rPr>
              <w:t>cja, Izrael,</w:t>
            </w:r>
            <w:r w:rsidR="002C5B3F" w:rsidRPr="006B297C">
              <w:rPr>
                <w:rFonts w:ascii="Times New Roman" w:hAnsi="Times New Roman" w:cs="Times New Roman"/>
                <w:sz w:val="20"/>
                <w:szCs w:val="20"/>
              </w:rPr>
              <w:t xml:space="preserve"> Włochy</w:t>
            </w:r>
            <w:r w:rsidRPr="006B297C">
              <w:rPr>
                <w:rFonts w:ascii="Times New Roman" w:hAnsi="Times New Roman" w:cs="Times New Roman"/>
                <w:sz w:val="20"/>
                <w:szCs w:val="20"/>
              </w:rPr>
              <w:t>, Luksemburg, Meksyk, Federacja Rosyjska</w:t>
            </w:r>
          </w:p>
        </w:tc>
      </w:tr>
    </w:tbl>
    <w:p w:rsidR="00767421" w:rsidRPr="004E64E6" w:rsidRDefault="004354DC" w:rsidP="004E64E6">
      <w:pPr>
        <w:spacing w:after="0" w:line="240" w:lineRule="auto"/>
        <w:jc w:val="both"/>
        <w:rPr>
          <w:rFonts w:ascii="Times New Roman" w:hAnsi="Times New Roman" w:cs="Times New Roman"/>
        </w:rPr>
      </w:pPr>
      <w:proofErr w:type="spellStart"/>
      <w:r w:rsidRPr="00920528">
        <w:rPr>
          <w:rFonts w:ascii="Times New Roman" w:eastAsia="Times New Roman" w:hAnsi="Times New Roman" w:cs="Times New Roman"/>
          <w:sz w:val="24"/>
          <w:szCs w:val="20"/>
          <w:lang w:val="en-US" w:eastAsia="pl-PL"/>
        </w:rPr>
        <w:t>Źródło</w:t>
      </w:r>
      <w:proofErr w:type="spellEnd"/>
      <w:r w:rsidRPr="00920528">
        <w:rPr>
          <w:rFonts w:ascii="Times New Roman" w:eastAsia="Times New Roman" w:hAnsi="Times New Roman" w:cs="Times New Roman"/>
          <w:sz w:val="24"/>
          <w:szCs w:val="20"/>
          <w:lang w:val="en-US" w:eastAsia="pl-PL"/>
        </w:rPr>
        <w:t>: OECD, Education at a Glance 201</w:t>
      </w:r>
      <w:r w:rsidR="00BD172F" w:rsidRPr="00920528">
        <w:rPr>
          <w:rFonts w:ascii="Times New Roman" w:eastAsia="Times New Roman" w:hAnsi="Times New Roman" w:cs="Times New Roman"/>
          <w:sz w:val="24"/>
          <w:szCs w:val="20"/>
          <w:lang w:val="en-US" w:eastAsia="pl-PL"/>
        </w:rPr>
        <w:t>4</w:t>
      </w:r>
      <w:r w:rsidRPr="00920528">
        <w:rPr>
          <w:rFonts w:ascii="Times New Roman" w:eastAsia="Times New Roman" w:hAnsi="Times New Roman" w:cs="Times New Roman"/>
          <w:sz w:val="24"/>
          <w:szCs w:val="20"/>
          <w:lang w:val="en-US" w:eastAsia="pl-PL"/>
        </w:rPr>
        <w:t>: OECD Indicators, OECD Publishing.</w:t>
      </w:r>
      <w:r w:rsidRPr="004E64E6">
        <w:rPr>
          <w:rFonts w:ascii="Times New Roman" w:hAnsi="Times New Roman" w:cs="Times New Roman"/>
          <w:lang w:val="en-US"/>
        </w:rPr>
        <w:t xml:space="preserve"> </w:t>
      </w:r>
      <w:hyperlink r:id="rId16" w:history="1">
        <w:r w:rsidR="00AB77A3" w:rsidRPr="004E64E6">
          <w:rPr>
            <w:rStyle w:val="Hipercze"/>
            <w:rFonts w:ascii="Times New Roman" w:hAnsi="Times New Roman" w:cs="Times New Roman"/>
          </w:rPr>
          <w:t>http://dx.doi.org/10.1787/eag-2012-en</w:t>
        </w:r>
      </w:hyperlink>
      <w:r w:rsidR="00AB77A3" w:rsidRPr="004E64E6">
        <w:rPr>
          <w:rFonts w:ascii="Times New Roman" w:hAnsi="Times New Roman" w:cs="Times New Roman"/>
        </w:rPr>
        <w:t>, s. 346</w:t>
      </w:r>
      <w:r w:rsidR="00F41D17" w:rsidRPr="004E64E6">
        <w:rPr>
          <w:rFonts w:ascii="Times New Roman" w:hAnsi="Times New Roman" w:cs="Times New Roman"/>
        </w:rPr>
        <w:t>.</w:t>
      </w:r>
    </w:p>
    <w:p w:rsidR="00BA1EB7" w:rsidRPr="00D561A7" w:rsidRDefault="00BA1EB7" w:rsidP="00B7157A">
      <w:pPr>
        <w:spacing w:after="0" w:line="360" w:lineRule="auto"/>
        <w:jc w:val="both"/>
        <w:rPr>
          <w:rFonts w:ascii="Times New Roman" w:hAnsi="Times New Roman"/>
          <w:sz w:val="24"/>
        </w:rPr>
      </w:pPr>
    </w:p>
    <w:p w:rsidR="006B297C" w:rsidRDefault="0036382A" w:rsidP="006B297C">
      <w:pPr>
        <w:pStyle w:val="tekstpods"/>
        <w:rPr>
          <w:szCs w:val="24"/>
        </w:rPr>
      </w:pPr>
      <w:r w:rsidRPr="006B297C">
        <w:t>Rządy wielu państw ustanowiły specjalne programy</w:t>
      </w:r>
      <w:r w:rsidR="00087C30" w:rsidRPr="006B297C">
        <w:t>, których</w:t>
      </w:r>
      <w:r w:rsidRPr="006B297C">
        <w:t xml:space="preserve"> cel</w:t>
      </w:r>
      <w:r w:rsidR="00087C30" w:rsidRPr="006B297C">
        <w:t>em jest</w:t>
      </w:r>
      <w:r w:rsidRPr="006B297C">
        <w:t xml:space="preserve"> inicj</w:t>
      </w:r>
      <w:r w:rsidR="00087C30" w:rsidRPr="006B297C">
        <w:t>owanie</w:t>
      </w:r>
      <w:r w:rsidRPr="006B297C">
        <w:t xml:space="preserve"> i koordyn</w:t>
      </w:r>
      <w:r w:rsidR="00087C30" w:rsidRPr="006B297C">
        <w:t>owanie</w:t>
      </w:r>
      <w:r w:rsidRPr="006B297C">
        <w:t xml:space="preserve"> działań internacjonalizacyjnych. W Europie powołano takie inicjatywy jak:</w:t>
      </w:r>
      <w:r w:rsidRPr="006055E0">
        <w:rPr>
          <w:szCs w:val="24"/>
        </w:rPr>
        <w:t xml:space="preserve"> </w:t>
      </w:r>
      <w:proofErr w:type="spellStart"/>
      <w:r w:rsidR="004733FA" w:rsidRPr="00BD2A3E">
        <w:rPr>
          <w:i/>
          <w:szCs w:val="24"/>
        </w:rPr>
        <w:t>Prime</w:t>
      </w:r>
      <w:proofErr w:type="spellEnd"/>
      <w:r w:rsidR="004733FA" w:rsidRPr="00BD2A3E">
        <w:rPr>
          <w:i/>
          <w:szCs w:val="24"/>
        </w:rPr>
        <w:t xml:space="preserve"> </w:t>
      </w:r>
      <w:proofErr w:type="spellStart"/>
      <w:r w:rsidR="004733FA" w:rsidRPr="00BD2A3E">
        <w:rPr>
          <w:i/>
          <w:szCs w:val="24"/>
        </w:rPr>
        <w:t>Minister’s</w:t>
      </w:r>
      <w:proofErr w:type="spellEnd"/>
      <w:r w:rsidR="004733FA" w:rsidRPr="00BD2A3E">
        <w:rPr>
          <w:i/>
          <w:szCs w:val="24"/>
        </w:rPr>
        <w:t xml:space="preserve"> </w:t>
      </w:r>
      <w:proofErr w:type="spellStart"/>
      <w:r w:rsidR="004733FA" w:rsidRPr="00BD2A3E">
        <w:rPr>
          <w:i/>
          <w:szCs w:val="24"/>
        </w:rPr>
        <w:t>Initiative</w:t>
      </w:r>
      <w:proofErr w:type="spellEnd"/>
      <w:r w:rsidR="00B93EE1" w:rsidRPr="006055E0">
        <w:rPr>
          <w:szCs w:val="24"/>
        </w:rPr>
        <w:t xml:space="preserve"> w Wielkiej Brytanii czy </w:t>
      </w:r>
      <w:proofErr w:type="spellStart"/>
      <w:r w:rsidR="004733FA" w:rsidRPr="00BD2A3E">
        <w:rPr>
          <w:i/>
          <w:szCs w:val="24"/>
        </w:rPr>
        <w:t>Study</w:t>
      </w:r>
      <w:proofErr w:type="spellEnd"/>
      <w:r w:rsidR="004733FA" w:rsidRPr="00BD2A3E">
        <w:rPr>
          <w:i/>
          <w:szCs w:val="24"/>
        </w:rPr>
        <w:t xml:space="preserve"> in Germany</w:t>
      </w:r>
      <w:r w:rsidR="00B93EE1" w:rsidRPr="006055E0">
        <w:rPr>
          <w:szCs w:val="24"/>
        </w:rPr>
        <w:t xml:space="preserve"> w Niemczech. </w:t>
      </w:r>
      <w:r w:rsidR="009534EA">
        <w:rPr>
          <w:szCs w:val="24"/>
        </w:rPr>
        <w:t xml:space="preserve">Wiele lat temu </w:t>
      </w:r>
      <w:r w:rsidR="003431CA">
        <w:rPr>
          <w:szCs w:val="24"/>
        </w:rPr>
        <w:t>stworzono</w:t>
      </w:r>
      <w:r w:rsidR="00B93EE1" w:rsidRPr="006055E0">
        <w:rPr>
          <w:szCs w:val="24"/>
        </w:rPr>
        <w:t xml:space="preserve"> również organizacje wyspecjalizowane we wspieraniu tych procesów: DAAD (Niemcy), OAAD (Austria), CIRIUS (Dania), CIMO (Finlandia), NUFFIC (Holandia) czy CAMPUS France (Francja).</w:t>
      </w:r>
    </w:p>
    <w:p w:rsidR="004F11B6" w:rsidRPr="006055E0" w:rsidRDefault="0092184F" w:rsidP="002E19D8">
      <w:pPr>
        <w:pStyle w:val="tekstpods"/>
        <w:rPr>
          <w:szCs w:val="24"/>
        </w:rPr>
      </w:pPr>
      <w:r w:rsidRPr="006055E0">
        <w:rPr>
          <w:szCs w:val="24"/>
        </w:rPr>
        <w:lastRenderedPageBreak/>
        <w:t>Zgodnie z zaleceniami Komisji Europejskiej planuje się, że do 2020 r. 20</w:t>
      </w:r>
      <w:r w:rsidR="00087C30">
        <w:rPr>
          <w:szCs w:val="24"/>
        </w:rPr>
        <w:t xml:space="preserve"> proc.</w:t>
      </w:r>
      <w:r w:rsidRPr="006055E0">
        <w:rPr>
          <w:szCs w:val="24"/>
        </w:rPr>
        <w:t xml:space="preserve"> studentów </w:t>
      </w:r>
      <w:r w:rsidR="00087C30">
        <w:rPr>
          <w:szCs w:val="24"/>
        </w:rPr>
        <w:t xml:space="preserve">z </w:t>
      </w:r>
      <w:r w:rsidRPr="006055E0">
        <w:rPr>
          <w:szCs w:val="24"/>
        </w:rPr>
        <w:t xml:space="preserve">każdego kraju powinno mieć </w:t>
      </w:r>
      <w:r w:rsidR="00087C30">
        <w:rPr>
          <w:szCs w:val="24"/>
        </w:rPr>
        <w:t xml:space="preserve">za sobą </w:t>
      </w:r>
      <w:r w:rsidRPr="006055E0">
        <w:rPr>
          <w:szCs w:val="24"/>
        </w:rPr>
        <w:t>doświadczenie studiowania lub kształcenia praktycznego w innym państwie</w:t>
      </w:r>
      <w:r w:rsidR="008076A6" w:rsidRPr="006055E0">
        <w:rPr>
          <w:rStyle w:val="Odwoanieprzypisudolnego"/>
          <w:szCs w:val="24"/>
        </w:rPr>
        <w:footnoteReference w:id="14"/>
      </w:r>
      <w:r w:rsidR="00087C30">
        <w:rPr>
          <w:szCs w:val="24"/>
        </w:rPr>
        <w:t>.</w:t>
      </w:r>
    </w:p>
    <w:p w:rsidR="004733FA" w:rsidRPr="006B297C" w:rsidRDefault="00544CF9" w:rsidP="006B297C">
      <w:pPr>
        <w:pStyle w:val="Nagwek1"/>
        <w:rPr>
          <w:szCs w:val="29"/>
        </w:rPr>
      </w:pPr>
      <w:r w:rsidRPr="006B297C">
        <w:rPr>
          <w:szCs w:val="29"/>
        </w:rPr>
        <w:t>Internacjonalizacja szkolnictwa wyższego w Polsce</w:t>
      </w:r>
    </w:p>
    <w:p w:rsidR="006B297C" w:rsidRDefault="00EA29F8" w:rsidP="006B297C">
      <w:pPr>
        <w:pStyle w:val="tekstpods"/>
      </w:pPr>
      <w:r w:rsidRPr="006B297C">
        <w:t>Okres PRL</w:t>
      </w:r>
      <w:r w:rsidR="00012E88" w:rsidRPr="006B297C">
        <w:t>-u</w:t>
      </w:r>
      <w:r w:rsidRPr="006B297C">
        <w:t xml:space="preserve"> był </w:t>
      </w:r>
      <w:r w:rsidR="00087C30" w:rsidRPr="006B297C">
        <w:t xml:space="preserve">w Polsce </w:t>
      </w:r>
      <w:r w:rsidRPr="006B297C">
        <w:t>czasem internacjonalizacji ograniczonej do państw bloku komunistycznego, niewątpliwie bardzo skutecznej, jeśli wziąć pod uwagę tysiące studentów z krajów tzw. „trzeciego świata”</w:t>
      </w:r>
      <w:r w:rsidR="00E73DA7" w:rsidRPr="006B297C">
        <w:t>, g</w:t>
      </w:r>
      <w:r w:rsidR="00F27B39" w:rsidRPr="006B297C">
        <w:t>ł</w:t>
      </w:r>
      <w:r w:rsidR="00E73DA7" w:rsidRPr="006B297C">
        <w:t>ównie z Azji czy Afryki</w:t>
      </w:r>
      <w:r w:rsidRPr="006B297C">
        <w:t>, których przyjmowaliśmy na polskich uczelniach w ramach pomocy rozwojowej.</w:t>
      </w:r>
      <w:r w:rsidR="00E73DA7" w:rsidRPr="006B297C">
        <w:t xml:space="preserve"> Niestety, kiedy opuścili oni nasz kraj, właściwie słuch po nich zaginął. Władze uznały, że </w:t>
      </w:r>
      <w:r w:rsidR="00F27B39" w:rsidRPr="006B297C">
        <w:t xml:space="preserve">nie </w:t>
      </w:r>
      <w:r w:rsidR="00E73DA7" w:rsidRPr="006B297C">
        <w:t xml:space="preserve">warto inwestować w śledzenie ich losów czy utrzymywanie z nimi kontaktu. </w:t>
      </w:r>
      <w:r w:rsidRPr="006B297C">
        <w:t xml:space="preserve">Niezagospodarowanie strategiczne tego sentymentu </w:t>
      </w:r>
      <w:r w:rsidR="00E73DA7" w:rsidRPr="006B297C">
        <w:t xml:space="preserve">było </w:t>
      </w:r>
      <w:r w:rsidRPr="006B297C">
        <w:t xml:space="preserve">jednym ze szczególnie rażących marnotrawstw systemowych podtrzymywanych przez kolejne ekipy decydentów. Po tym okresie przyszło więc budować </w:t>
      </w:r>
      <w:r w:rsidR="00F27B39" w:rsidRPr="006B297C">
        <w:t xml:space="preserve">polską </w:t>
      </w:r>
      <w:r w:rsidRPr="006B297C">
        <w:t xml:space="preserve">markę edukacyjną, nawet w tych „zaprzyjaźnionych” krajach, od </w:t>
      </w:r>
      <w:r w:rsidR="00117E34" w:rsidRPr="006B297C">
        <w:t>początku</w:t>
      </w:r>
      <w:r w:rsidRPr="006B297C">
        <w:t xml:space="preserve">, </w:t>
      </w:r>
      <w:r w:rsidR="005E6F2C" w:rsidRPr="006B297C">
        <w:t>co nie jest</w:t>
      </w:r>
      <w:r w:rsidRPr="006B297C">
        <w:t xml:space="preserve"> proste w sytuacji braku skoordynowanych działań w tym zakresie na poziomie rządowym.</w:t>
      </w:r>
    </w:p>
    <w:p w:rsidR="00AC70EC" w:rsidRPr="006B297C" w:rsidRDefault="00731502" w:rsidP="006B297C">
      <w:pPr>
        <w:pStyle w:val="tekstpods"/>
      </w:pPr>
      <w:r>
        <w:rPr>
          <w:szCs w:val="24"/>
        </w:rPr>
        <w:t>Mimo to,</w:t>
      </w:r>
      <w:r w:rsidR="00EA29F8" w:rsidRPr="006055E0">
        <w:rPr>
          <w:szCs w:val="24"/>
        </w:rPr>
        <w:t xml:space="preserve"> najczęściej dzięki działaniom</w:t>
      </w:r>
      <w:r w:rsidR="00F71F67" w:rsidRPr="006055E0">
        <w:rPr>
          <w:szCs w:val="24"/>
        </w:rPr>
        <w:t xml:space="preserve"> oddolnym</w:t>
      </w:r>
      <w:r w:rsidR="00EA29F8" w:rsidRPr="006055E0">
        <w:rPr>
          <w:szCs w:val="24"/>
        </w:rPr>
        <w:t xml:space="preserve"> samych uczelni i ich władz, pewne procesy zaczynają powoli funkcjonować. </w:t>
      </w:r>
      <w:r w:rsidR="00101D4E" w:rsidRPr="006055E0">
        <w:rPr>
          <w:szCs w:val="24"/>
        </w:rPr>
        <w:t xml:space="preserve">Na podstawie ostatniego raportu </w:t>
      </w:r>
      <w:r w:rsidR="00117E34">
        <w:rPr>
          <w:szCs w:val="24"/>
        </w:rPr>
        <w:t>„</w:t>
      </w:r>
      <w:r w:rsidR="00101D4E" w:rsidRPr="006055E0">
        <w:rPr>
          <w:szCs w:val="24"/>
        </w:rPr>
        <w:t>Perspektyw</w:t>
      </w:r>
      <w:r w:rsidR="00117E34">
        <w:rPr>
          <w:szCs w:val="24"/>
        </w:rPr>
        <w:t>”</w:t>
      </w:r>
      <w:r w:rsidR="00101D4E" w:rsidRPr="006055E0">
        <w:rPr>
          <w:szCs w:val="24"/>
        </w:rPr>
        <w:t xml:space="preserve"> (</w:t>
      </w:r>
      <w:r w:rsidR="00117E34">
        <w:rPr>
          <w:szCs w:val="24"/>
        </w:rPr>
        <w:t xml:space="preserve">z </w:t>
      </w:r>
      <w:r w:rsidR="00101D4E" w:rsidRPr="006055E0">
        <w:rPr>
          <w:szCs w:val="24"/>
        </w:rPr>
        <w:t>październik</w:t>
      </w:r>
      <w:r w:rsidR="00117E34">
        <w:rPr>
          <w:szCs w:val="24"/>
        </w:rPr>
        <w:t xml:space="preserve">a </w:t>
      </w:r>
      <w:r w:rsidR="00101D4E" w:rsidRPr="006055E0">
        <w:rPr>
          <w:szCs w:val="24"/>
        </w:rPr>
        <w:t>201</w:t>
      </w:r>
      <w:r w:rsidR="00012E88">
        <w:rPr>
          <w:szCs w:val="24"/>
        </w:rPr>
        <w:t>4</w:t>
      </w:r>
      <w:r w:rsidR="00117E34">
        <w:rPr>
          <w:szCs w:val="24"/>
        </w:rPr>
        <w:t xml:space="preserve"> r.</w:t>
      </w:r>
      <w:r w:rsidR="00101D4E" w:rsidRPr="006055E0">
        <w:rPr>
          <w:szCs w:val="24"/>
        </w:rPr>
        <w:t>)</w:t>
      </w:r>
      <w:r w:rsidR="00101D4E" w:rsidRPr="006055E0">
        <w:rPr>
          <w:rStyle w:val="Odwoanieprzypisudolnego"/>
          <w:szCs w:val="24"/>
        </w:rPr>
        <w:footnoteReference w:id="15"/>
      </w:r>
      <w:r w:rsidR="00101D4E" w:rsidRPr="006055E0">
        <w:rPr>
          <w:szCs w:val="24"/>
        </w:rPr>
        <w:t xml:space="preserve"> można</w:t>
      </w:r>
      <w:r w:rsidR="00B224E9" w:rsidRPr="006055E0">
        <w:rPr>
          <w:szCs w:val="24"/>
        </w:rPr>
        <w:t xml:space="preserve"> jednoznacznie</w:t>
      </w:r>
      <w:r w:rsidR="00101D4E" w:rsidRPr="006055E0">
        <w:rPr>
          <w:szCs w:val="24"/>
        </w:rPr>
        <w:t xml:space="preserve"> stwierdzić, że liczba studentów zagranicznych studiujących w Polsce nieustannie wzrasta. W roku akademickim</w:t>
      </w:r>
      <w:r w:rsidR="00012E88">
        <w:rPr>
          <w:szCs w:val="24"/>
        </w:rPr>
        <w:t xml:space="preserve"> 2013/</w:t>
      </w:r>
      <w:r w:rsidR="00DD1684">
        <w:rPr>
          <w:szCs w:val="24"/>
        </w:rPr>
        <w:t>20</w:t>
      </w:r>
      <w:r w:rsidR="00012E88">
        <w:rPr>
          <w:szCs w:val="24"/>
        </w:rPr>
        <w:t>14</w:t>
      </w:r>
      <w:r w:rsidR="00101D4E" w:rsidRPr="006055E0">
        <w:rPr>
          <w:szCs w:val="24"/>
        </w:rPr>
        <w:t xml:space="preserve"> studiowało u nas </w:t>
      </w:r>
      <w:r w:rsidR="00012E88">
        <w:rPr>
          <w:szCs w:val="24"/>
        </w:rPr>
        <w:t>prawie</w:t>
      </w:r>
      <w:r w:rsidR="00012E88" w:rsidRPr="006055E0">
        <w:rPr>
          <w:szCs w:val="24"/>
        </w:rPr>
        <w:t xml:space="preserve"> </w:t>
      </w:r>
      <w:r w:rsidR="00012E88">
        <w:rPr>
          <w:szCs w:val="24"/>
        </w:rPr>
        <w:t>36</w:t>
      </w:r>
      <w:r w:rsidR="00012E88" w:rsidRPr="006055E0">
        <w:rPr>
          <w:szCs w:val="24"/>
        </w:rPr>
        <w:t xml:space="preserve"> </w:t>
      </w:r>
      <w:r w:rsidR="00101D4E" w:rsidRPr="006055E0">
        <w:rPr>
          <w:szCs w:val="24"/>
        </w:rPr>
        <w:t xml:space="preserve">tysięcy obcokrajowców ze 142 krajów, co stanowi </w:t>
      </w:r>
      <w:r w:rsidR="000F2F0F">
        <w:rPr>
          <w:szCs w:val="24"/>
        </w:rPr>
        <w:t>2</w:t>
      </w:r>
      <w:r w:rsidR="000B278C" w:rsidRPr="006055E0">
        <w:rPr>
          <w:szCs w:val="24"/>
        </w:rPr>
        <w:t>,</w:t>
      </w:r>
      <w:r w:rsidR="000F2F0F">
        <w:rPr>
          <w:szCs w:val="24"/>
        </w:rPr>
        <w:t xml:space="preserve">32 </w:t>
      </w:r>
      <w:r w:rsidR="00117E34">
        <w:rPr>
          <w:szCs w:val="24"/>
        </w:rPr>
        <w:t>proc.</w:t>
      </w:r>
      <w:r w:rsidR="000B278C" w:rsidRPr="006055E0">
        <w:rPr>
          <w:szCs w:val="24"/>
        </w:rPr>
        <w:t xml:space="preserve"> studentów w naszym kraju. W stosunku do roku ubiegłego odnotowano wzrost ich liczby o blisko </w:t>
      </w:r>
      <w:r w:rsidR="000F2F0F">
        <w:rPr>
          <w:szCs w:val="24"/>
        </w:rPr>
        <w:t>23</w:t>
      </w:r>
      <w:r w:rsidR="00117E34">
        <w:rPr>
          <w:szCs w:val="24"/>
        </w:rPr>
        <w:t xml:space="preserve"> procent</w:t>
      </w:r>
      <w:r w:rsidR="000F2F0F">
        <w:rPr>
          <w:szCs w:val="24"/>
        </w:rPr>
        <w:t xml:space="preserve"> </w:t>
      </w:r>
      <w:r w:rsidR="00F27B39">
        <w:rPr>
          <w:szCs w:val="24"/>
        </w:rPr>
        <w:t>(</w:t>
      </w:r>
      <w:r w:rsidR="000F2F0F">
        <w:rPr>
          <w:szCs w:val="24"/>
        </w:rPr>
        <w:t>w liczbach bezwzględnych to prawie 7000 osób</w:t>
      </w:r>
      <w:r w:rsidR="00F27B39">
        <w:rPr>
          <w:szCs w:val="24"/>
        </w:rPr>
        <w:t>)</w:t>
      </w:r>
      <w:r w:rsidR="000B278C" w:rsidRPr="006055E0">
        <w:rPr>
          <w:szCs w:val="24"/>
        </w:rPr>
        <w:t>.</w:t>
      </w:r>
      <w:r w:rsidR="00FE63AD" w:rsidRPr="006055E0">
        <w:rPr>
          <w:szCs w:val="24"/>
        </w:rPr>
        <w:t xml:space="preserve"> </w:t>
      </w:r>
      <w:r w:rsidR="000F2F0F">
        <w:rPr>
          <w:szCs w:val="24"/>
        </w:rPr>
        <w:t>Nie jest to jednak powód do nadmiernej dumy, ponieważ u</w:t>
      </w:r>
      <w:r w:rsidR="00FE63AD" w:rsidRPr="006055E0">
        <w:rPr>
          <w:szCs w:val="24"/>
        </w:rPr>
        <w:t>dział studentów zagranicznych rośnie</w:t>
      </w:r>
      <w:r w:rsidR="000F2F0F">
        <w:rPr>
          <w:szCs w:val="24"/>
        </w:rPr>
        <w:t xml:space="preserve"> w Polsce</w:t>
      </w:r>
      <w:r w:rsidR="00FE63AD" w:rsidRPr="006055E0">
        <w:rPr>
          <w:szCs w:val="24"/>
        </w:rPr>
        <w:t xml:space="preserve"> z dwóch powodów: rzeczywiście przyjeżdża ich do nas </w:t>
      </w:r>
      <w:r w:rsidR="000F2F0F">
        <w:rPr>
          <w:szCs w:val="24"/>
        </w:rPr>
        <w:t>trochę</w:t>
      </w:r>
      <w:r w:rsidR="000F2F0F" w:rsidRPr="006055E0">
        <w:rPr>
          <w:szCs w:val="24"/>
        </w:rPr>
        <w:t xml:space="preserve"> </w:t>
      </w:r>
      <w:r w:rsidR="00FE63AD" w:rsidRPr="006055E0">
        <w:rPr>
          <w:szCs w:val="24"/>
        </w:rPr>
        <w:t>więcej, ale też stopniowo zmniejsza się liczba studentów rodzimych (w roku 2005 obcokrajowcy w liczbie 10 089 stanowili 0,52</w:t>
      </w:r>
      <w:r w:rsidR="00117E34">
        <w:rPr>
          <w:szCs w:val="24"/>
        </w:rPr>
        <w:t xml:space="preserve"> proc.</w:t>
      </w:r>
      <w:r w:rsidR="00FE63AD" w:rsidRPr="006055E0">
        <w:rPr>
          <w:szCs w:val="24"/>
        </w:rPr>
        <w:t xml:space="preserve"> studentów </w:t>
      </w:r>
      <w:r w:rsidR="00385A2E">
        <w:rPr>
          <w:szCs w:val="24"/>
        </w:rPr>
        <w:t>ogółem</w:t>
      </w:r>
      <w:r w:rsidR="00117E34">
        <w:rPr>
          <w:szCs w:val="24"/>
        </w:rPr>
        <w:t>, których było</w:t>
      </w:r>
      <w:r w:rsidR="00FE63AD" w:rsidRPr="006055E0">
        <w:rPr>
          <w:szCs w:val="24"/>
        </w:rPr>
        <w:t xml:space="preserve"> 1 939 898). </w:t>
      </w:r>
      <w:r w:rsidR="000F2F0F">
        <w:rPr>
          <w:szCs w:val="24"/>
        </w:rPr>
        <w:t>Najliczniejszą</w:t>
      </w:r>
      <w:r w:rsidR="000F2F0F" w:rsidRPr="006055E0">
        <w:rPr>
          <w:szCs w:val="24"/>
        </w:rPr>
        <w:t xml:space="preserve"> </w:t>
      </w:r>
      <w:r w:rsidR="00FE63AD" w:rsidRPr="006055E0">
        <w:rPr>
          <w:szCs w:val="24"/>
        </w:rPr>
        <w:t>grupę studentów w Polsce stanowią</w:t>
      </w:r>
      <w:r w:rsidR="00385A2E">
        <w:rPr>
          <w:szCs w:val="24"/>
        </w:rPr>
        <w:t xml:space="preserve"> obecnie</w:t>
      </w:r>
      <w:r w:rsidR="00FE63AD" w:rsidRPr="006055E0">
        <w:rPr>
          <w:szCs w:val="24"/>
        </w:rPr>
        <w:t xml:space="preserve"> Ukraińcy</w:t>
      </w:r>
      <w:r w:rsidR="00117E34">
        <w:rPr>
          <w:szCs w:val="24"/>
        </w:rPr>
        <w:t xml:space="preserve"> –</w:t>
      </w:r>
      <w:r w:rsidR="00FE63AD" w:rsidRPr="006055E0">
        <w:rPr>
          <w:szCs w:val="24"/>
        </w:rPr>
        <w:t xml:space="preserve"> w roku 201</w:t>
      </w:r>
      <w:r w:rsidR="000F2F0F">
        <w:rPr>
          <w:szCs w:val="24"/>
        </w:rPr>
        <w:t>3</w:t>
      </w:r>
      <w:r w:rsidR="00FE63AD" w:rsidRPr="006055E0">
        <w:rPr>
          <w:szCs w:val="24"/>
        </w:rPr>
        <w:t>/</w:t>
      </w:r>
      <w:r w:rsidR="00DD1684">
        <w:rPr>
          <w:szCs w:val="24"/>
        </w:rPr>
        <w:t>20</w:t>
      </w:r>
      <w:r w:rsidR="00FE63AD" w:rsidRPr="006055E0">
        <w:rPr>
          <w:szCs w:val="24"/>
        </w:rPr>
        <w:t>1</w:t>
      </w:r>
      <w:r w:rsidR="000F2F0F">
        <w:rPr>
          <w:szCs w:val="24"/>
        </w:rPr>
        <w:t>4</w:t>
      </w:r>
      <w:r w:rsidR="00FE63AD" w:rsidRPr="006055E0">
        <w:rPr>
          <w:szCs w:val="24"/>
        </w:rPr>
        <w:t xml:space="preserve"> studiowało ich na polskich uczelniach </w:t>
      </w:r>
      <w:r w:rsidR="000F2F0F">
        <w:rPr>
          <w:szCs w:val="24"/>
        </w:rPr>
        <w:t>ponad 15 tysięcy</w:t>
      </w:r>
      <w:r w:rsidR="00FE63AD" w:rsidRPr="006055E0">
        <w:rPr>
          <w:szCs w:val="24"/>
        </w:rPr>
        <w:t xml:space="preserve">, czyli o </w:t>
      </w:r>
      <w:r w:rsidR="000F2F0F">
        <w:rPr>
          <w:szCs w:val="24"/>
        </w:rPr>
        <w:t xml:space="preserve">55 </w:t>
      </w:r>
      <w:r w:rsidR="00117E34">
        <w:rPr>
          <w:szCs w:val="24"/>
        </w:rPr>
        <w:t>proc. więcej</w:t>
      </w:r>
      <w:r w:rsidR="00FE63AD" w:rsidRPr="006055E0">
        <w:rPr>
          <w:szCs w:val="24"/>
        </w:rPr>
        <w:t xml:space="preserve"> niż w</w:t>
      </w:r>
      <w:r w:rsidR="008A77AB" w:rsidRPr="006055E0">
        <w:rPr>
          <w:szCs w:val="24"/>
        </w:rPr>
        <w:t xml:space="preserve"> roku poprzednim</w:t>
      </w:r>
      <w:r w:rsidR="00547B41">
        <w:rPr>
          <w:szCs w:val="24"/>
        </w:rPr>
        <w:t xml:space="preserve"> (było ich wówczas niespełna 9800)</w:t>
      </w:r>
      <w:r w:rsidR="00385A2E">
        <w:rPr>
          <w:szCs w:val="24"/>
        </w:rPr>
        <w:t xml:space="preserve">. Studiują oni </w:t>
      </w:r>
      <w:r w:rsidR="00547B41">
        <w:rPr>
          <w:szCs w:val="24"/>
        </w:rPr>
        <w:t>głównie w stolicy oraz w</w:t>
      </w:r>
      <w:r w:rsidR="00547B41" w:rsidRPr="006055E0">
        <w:rPr>
          <w:szCs w:val="24"/>
        </w:rPr>
        <w:t xml:space="preserve"> </w:t>
      </w:r>
      <w:r w:rsidR="008A77AB" w:rsidRPr="006055E0">
        <w:rPr>
          <w:szCs w:val="24"/>
        </w:rPr>
        <w:t>województwach południowo-wschodnich</w:t>
      </w:r>
      <w:r w:rsidR="00547B41">
        <w:rPr>
          <w:szCs w:val="24"/>
        </w:rPr>
        <w:t xml:space="preserve">, </w:t>
      </w:r>
      <w:r w:rsidR="00385A2E">
        <w:rPr>
          <w:szCs w:val="24"/>
        </w:rPr>
        <w:t>gdzie coraz częściej mówi się o zjawisku „ukrainizacji” uczelni.</w:t>
      </w:r>
      <w:r w:rsidR="00FE63AD" w:rsidRPr="006055E0">
        <w:rPr>
          <w:szCs w:val="24"/>
        </w:rPr>
        <w:t xml:space="preserve"> Oznacza to również, że </w:t>
      </w:r>
      <w:r w:rsidR="00547B41">
        <w:rPr>
          <w:szCs w:val="24"/>
        </w:rPr>
        <w:t xml:space="preserve">niemalże </w:t>
      </w:r>
      <w:r w:rsidR="00FE63AD" w:rsidRPr="006055E0">
        <w:rPr>
          <w:szCs w:val="24"/>
        </w:rPr>
        <w:t xml:space="preserve">co </w:t>
      </w:r>
      <w:r w:rsidR="00547B41">
        <w:rPr>
          <w:szCs w:val="24"/>
        </w:rPr>
        <w:t>drugi</w:t>
      </w:r>
      <w:r w:rsidR="00FE63AD" w:rsidRPr="006055E0">
        <w:rPr>
          <w:szCs w:val="24"/>
        </w:rPr>
        <w:t xml:space="preserve"> student zagraniczny pochodził z Ukrainy.</w:t>
      </w:r>
      <w:r w:rsidR="008A77AB" w:rsidRPr="006055E0">
        <w:rPr>
          <w:szCs w:val="24"/>
        </w:rPr>
        <w:t xml:space="preserve"> </w:t>
      </w:r>
      <w:r w:rsidR="00AC70EC" w:rsidRPr="006055E0">
        <w:rPr>
          <w:szCs w:val="24"/>
        </w:rPr>
        <w:t xml:space="preserve">Jeśli chodzi o pochodzenie </w:t>
      </w:r>
      <w:r w:rsidR="00AC70EC" w:rsidRPr="00FC1F81">
        <w:rPr>
          <w:szCs w:val="24"/>
        </w:rPr>
        <w:t>pozostałych</w:t>
      </w:r>
      <w:r w:rsidR="00AC70EC" w:rsidRPr="006055E0">
        <w:rPr>
          <w:szCs w:val="24"/>
        </w:rPr>
        <w:t xml:space="preserve"> studentów</w:t>
      </w:r>
      <w:r w:rsidR="00385A2E">
        <w:rPr>
          <w:szCs w:val="24"/>
        </w:rPr>
        <w:t xml:space="preserve"> zagranicznych w Polsce,</w:t>
      </w:r>
      <w:r w:rsidR="00117E34">
        <w:rPr>
          <w:szCs w:val="24"/>
        </w:rPr>
        <w:t xml:space="preserve"> </w:t>
      </w:r>
      <w:r w:rsidR="00AC70EC" w:rsidRPr="006055E0">
        <w:rPr>
          <w:szCs w:val="24"/>
        </w:rPr>
        <w:t>przeważają zdecydowanie kraje UE.</w:t>
      </w:r>
    </w:p>
    <w:p w:rsidR="0002500F" w:rsidRDefault="00DC5A27">
      <w:pPr>
        <w:tabs>
          <w:tab w:val="left" w:pos="2244"/>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p>
    <w:p w:rsidR="00AC70EC" w:rsidRPr="006055E0" w:rsidRDefault="00047170" w:rsidP="00B7157A">
      <w:pPr>
        <w:spacing w:after="0" w:line="360" w:lineRule="auto"/>
        <w:jc w:val="center"/>
        <w:rPr>
          <w:rFonts w:ascii="Times New Roman" w:hAnsi="Times New Roman" w:cs="Times New Roman"/>
          <w:sz w:val="24"/>
          <w:szCs w:val="24"/>
        </w:rPr>
      </w:pPr>
      <w:r>
        <w:rPr>
          <w:noProof/>
          <w:lang w:eastAsia="pl-PL"/>
        </w:rPr>
        <w:lastRenderedPageBreak/>
        <w:drawing>
          <wp:inline distT="0" distB="0" distL="0" distR="0" wp14:anchorId="3B0BB0A9" wp14:editId="6CF398AB">
            <wp:extent cx="5731510" cy="3038817"/>
            <wp:effectExtent l="0" t="0" r="2540" b="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B297C" w:rsidRDefault="006B297C" w:rsidP="006B297C">
      <w:pPr>
        <w:pStyle w:val="tekstpods"/>
        <w:spacing w:line="240" w:lineRule="auto"/>
        <w:ind w:firstLine="0"/>
      </w:pPr>
      <w:r>
        <w:t xml:space="preserve">Rys. 3. </w:t>
      </w:r>
      <w:r w:rsidRPr="006B297C">
        <w:t>Studenci zagraniczni w Polsce w podziale na kraje pochodzenia (2014 r.)</w:t>
      </w:r>
    </w:p>
    <w:p w:rsidR="006B297C" w:rsidRPr="006B297C" w:rsidRDefault="006B297C" w:rsidP="006B297C">
      <w:pPr>
        <w:pStyle w:val="tekstpods"/>
        <w:spacing w:line="240" w:lineRule="auto"/>
        <w:ind w:firstLine="0"/>
        <w:rPr>
          <w:lang w:val="en-US"/>
        </w:rPr>
      </w:pPr>
      <w:r>
        <w:rPr>
          <w:lang w:val="en-US"/>
        </w:rPr>
        <w:t>Fig. 3</w:t>
      </w:r>
      <w:r w:rsidRPr="00EE291C">
        <w:rPr>
          <w:lang w:val="en-US"/>
        </w:rPr>
        <w:t xml:space="preserve">. </w:t>
      </w:r>
      <w:r>
        <w:rPr>
          <w:lang w:val="en-US"/>
        </w:rPr>
        <w:t>Foreign students according to the origin country (2014)</w:t>
      </w:r>
    </w:p>
    <w:p w:rsidR="006B297C" w:rsidRDefault="006B297C" w:rsidP="00122A64">
      <w:pPr>
        <w:pStyle w:val="tekstpods"/>
        <w:spacing w:line="240" w:lineRule="auto"/>
        <w:ind w:firstLine="0"/>
      </w:pPr>
      <w:r w:rsidRPr="006B297C">
        <w:t xml:space="preserve">Źródło: </w:t>
      </w:r>
      <w:r w:rsidR="00122A64" w:rsidRPr="009B7EED">
        <w:t>opracowanie własne na podstawie GUS</w:t>
      </w:r>
      <w:r w:rsidR="00122A64">
        <w:t xml:space="preserve">, Rocznik Statystyczny Rzeczpospolitej Polskiej, </w:t>
      </w:r>
      <w:hyperlink r:id="rId18" w:history="1">
        <w:r w:rsidR="00122A64" w:rsidRPr="003B14F5">
          <w:rPr>
            <w:rStyle w:val="Hipercze"/>
          </w:rPr>
          <w:t>www.stat.gov.pl</w:t>
        </w:r>
      </w:hyperlink>
    </w:p>
    <w:p w:rsidR="006B297C" w:rsidRDefault="006B297C" w:rsidP="00665452">
      <w:pPr>
        <w:spacing w:after="0" w:line="240" w:lineRule="auto"/>
        <w:jc w:val="both"/>
        <w:rPr>
          <w:rFonts w:ascii="Times New Roman" w:hAnsi="Times New Roman" w:cs="Times New Roman"/>
        </w:rPr>
      </w:pPr>
    </w:p>
    <w:p w:rsidR="00122A64" w:rsidRDefault="00DC5A27" w:rsidP="00122A64">
      <w:pPr>
        <w:pStyle w:val="tekstpods"/>
      </w:pPr>
      <w:r w:rsidRPr="00122A64">
        <w:t xml:space="preserve">Najwięcej </w:t>
      </w:r>
      <w:r w:rsidR="008A77AB" w:rsidRPr="00122A64">
        <w:t xml:space="preserve">studentów zagranicznych </w:t>
      </w:r>
      <w:r w:rsidR="009B7EED" w:rsidRPr="00122A64">
        <w:t>uczy się</w:t>
      </w:r>
      <w:r w:rsidRPr="00122A64">
        <w:t xml:space="preserve"> w</w:t>
      </w:r>
      <w:r w:rsidR="008A77AB" w:rsidRPr="00122A64">
        <w:t xml:space="preserve"> województwa</w:t>
      </w:r>
      <w:r w:rsidRPr="00122A64">
        <w:t>ch</w:t>
      </w:r>
      <w:r w:rsidR="008A77AB" w:rsidRPr="00122A64">
        <w:t>: mazowiecki</w:t>
      </w:r>
      <w:r w:rsidRPr="00122A64">
        <w:t>m</w:t>
      </w:r>
      <w:r w:rsidR="009B7EED" w:rsidRPr="00122A64">
        <w:t>,</w:t>
      </w:r>
      <w:r w:rsidR="008A77AB" w:rsidRPr="00122A64">
        <w:t xml:space="preserve"> </w:t>
      </w:r>
      <w:r w:rsidR="00CD0BFC" w:rsidRPr="00122A64">
        <w:t xml:space="preserve">gdzie studiuje 10 950 obcokrajowców </w:t>
      </w:r>
      <w:r w:rsidR="008A77AB" w:rsidRPr="00122A64">
        <w:t>(29,2</w:t>
      </w:r>
      <w:r w:rsidR="00117E34" w:rsidRPr="00122A64">
        <w:t xml:space="preserve"> proc. studentów zagranicznych</w:t>
      </w:r>
      <w:r w:rsidR="00CD0BFC" w:rsidRPr="00122A64">
        <w:t xml:space="preserve"> w Polsce</w:t>
      </w:r>
      <w:r w:rsidR="008A77AB" w:rsidRPr="00122A64">
        <w:t>), małopolski</w:t>
      </w:r>
      <w:r w:rsidRPr="00122A64">
        <w:t>m –</w:t>
      </w:r>
      <w:r w:rsidR="00CD0BFC" w:rsidRPr="00122A64">
        <w:t xml:space="preserve"> 4481 osób</w:t>
      </w:r>
      <w:r w:rsidR="008A77AB" w:rsidRPr="00122A64">
        <w:t xml:space="preserve"> (1</w:t>
      </w:r>
      <w:r w:rsidR="007F2C95" w:rsidRPr="00122A64">
        <w:t>2</w:t>
      </w:r>
      <w:r w:rsidR="008A77AB" w:rsidRPr="00122A64">
        <w:t>,</w:t>
      </w:r>
      <w:r w:rsidR="007F2C95" w:rsidRPr="00122A64">
        <w:t>5</w:t>
      </w:r>
      <w:r w:rsidR="00117E34" w:rsidRPr="00122A64">
        <w:t xml:space="preserve"> proc.</w:t>
      </w:r>
      <w:r w:rsidR="008A77AB" w:rsidRPr="00122A64">
        <w:t>), lubelski</w:t>
      </w:r>
      <w:r w:rsidRPr="00122A64">
        <w:t>m –</w:t>
      </w:r>
      <w:r w:rsidR="007F2C95" w:rsidRPr="00122A64">
        <w:t xml:space="preserve"> 3982</w:t>
      </w:r>
      <w:r w:rsidR="008A77AB" w:rsidRPr="00122A64">
        <w:t xml:space="preserve"> (11,</w:t>
      </w:r>
      <w:r w:rsidR="007F2C95" w:rsidRPr="00122A64">
        <w:t>07</w:t>
      </w:r>
      <w:r w:rsidR="00117E34" w:rsidRPr="00122A64">
        <w:t xml:space="preserve"> proc.</w:t>
      </w:r>
      <w:r w:rsidR="008A77AB" w:rsidRPr="00122A64">
        <w:t>)</w:t>
      </w:r>
      <w:r w:rsidR="00117E34" w:rsidRPr="00122A64">
        <w:t xml:space="preserve"> i </w:t>
      </w:r>
      <w:r w:rsidR="008A77AB" w:rsidRPr="00122A64">
        <w:t>dolnośląski</w:t>
      </w:r>
      <w:r w:rsidRPr="00122A64">
        <w:t>m –</w:t>
      </w:r>
      <w:r w:rsidR="007F2C95" w:rsidRPr="00122A64">
        <w:t xml:space="preserve"> 3045</w:t>
      </w:r>
      <w:r w:rsidR="008A77AB" w:rsidRPr="00122A64">
        <w:t xml:space="preserve"> (</w:t>
      </w:r>
      <w:r w:rsidR="007F2C95" w:rsidRPr="00122A64">
        <w:t>8</w:t>
      </w:r>
      <w:r w:rsidR="008A77AB" w:rsidRPr="00122A64">
        <w:t>,</w:t>
      </w:r>
      <w:r w:rsidR="007F2C95" w:rsidRPr="00122A64">
        <w:t>46</w:t>
      </w:r>
      <w:r w:rsidR="00117E34" w:rsidRPr="00122A64">
        <w:t xml:space="preserve"> proc</w:t>
      </w:r>
      <w:r w:rsidR="009B7EED" w:rsidRPr="00122A64">
        <w:t>ent</w:t>
      </w:r>
      <w:r w:rsidR="008A77AB" w:rsidRPr="00122A64">
        <w:t xml:space="preserve">). Najbardziej </w:t>
      </w:r>
      <w:r w:rsidR="009B7EED" w:rsidRPr="00122A64">
        <w:t xml:space="preserve">umiędzynarodowione </w:t>
      </w:r>
      <w:r w:rsidR="00AC70EC" w:rsidRPr="00122A64">
        <w:t xml:space="preserve">kierunki </w:t>
      </w:r>
      <w:r w:rsidR="009B7EED" w:rsidRPr="00122A64">
        <w:t>to</w:t>
      </w:r>
      <w:r w:rsidRPr="00122A64">
        <w:t>:</w:t>
      </w:r>
      <w:r w:rsidR="00AC70EC" w:rsidRPr="00122A64">
        <w:t xml:space="preserve"> </w:t>
      </w:r>
      <w:r w:rsidR="009B7EED" w:rsidRPr="00122A64">
        <w:t xml:space="preserve">kierunki lekarskie </w:t>
      </w:r>
      <w:r w:rsidR="00AC70EC" w:rsidRPr="00122A64">
        <w:t>(1</w:t>
      </w:r>
      <w:r w:rsidR="007F2C95" w:rsidRPr="00122A64">
        <w:t>5</w:t>
      </w:r>
      <w:r w:rsidR="00AC70EC" w:rsidRPr="00122A64">
        <w:t>,</w:t>
      </w:r>
      <w:r w:rsidR="007F2C95" w:rsidRPr="00122A64">
        <w:t>3</w:t>
      </w:r>
      <w:r w:rsidR="00117E34" w:rsidRPr="00122A64">
        <w:t xml:space="preserve"> proc. zagranicznych studentów</w:t>
      </w:r>
      <w:r w:rsidR="00AC70EC" w:rsidRPr="00122A64">
        <w:t xml:space="preserve">) i </w:t>
      </w:r>
      <w:r w:rsidR="008A77AB" w:rsidRPr="00122A64">
        <w:t>zarządzanie (</w:t>
      </w:r>
      <w:r w:rsidR="007F2C95" w:rsidRPr="00122A64">
        <w:t>9</w:t>
      </w:r>
      <w:r w:rsidR="008A77AB" w:rsidRPr="00122A64">
        <w:t>,</w:t>
      </w:r>
      <w:r w:rsidR="007F2C95" w:rsidRPr="00122A64">
        <w:t>7</w:t>
      </w:r>
      <w:r w:rsidR="00117E34" w:rsidRPr="00122A64">
        <w:t xml:space="preserve"> proc</w:t>
      </w:r>
      <w:r w:rsidR="009B7EED" w:rsidRPr="00122A64">
        <w:t xml:space="preserve">ent). </w:t>
      </w:r>
    </w:p>
    <w:p w:rsidR="00122A64" w:rsidRDefault="007106AA" w:rsidP="00122A64">
      <w:pPr>
        <w:pStyle w:val="tekstpods"/>
        <w:rPr>
          <w:szCs w:val="24"/>
        </w:rPr>
      </w:pPr>
      <w:r w:rsidRPr="006055E0">
        <w:rPr>
          <w:szCs w:val="24"/>
        </w:rPr>
        <w:t>Ogromną rolę w internacjonalizacji polskich uczelni odegrał program E</w:t>
      </w:r>
      <w:r w:rsidR="00A048E9">
        <w:rPr>
          <w:szCs w:val="24"/>
        </w:rPr>
        <w:t>rasmus</w:t>
      </w:r>
      <w:r w:rsidRPr="006055E0">
        <w:rPr>
          <w:szCs w:val="24"/>
        </w:rPr>
        <w:t>, w którym na przestrzeni dwunastu lat (2000</w:t>
      </w:r>
      <w:r w:rsidR="00A048E9">
        <w:rPr>
          <w:szCs w:val="24"/>
        </w:rPr>
        <w:t>–</w:t>
      </w:r>
      <w:r w:rsidRPr="006055E0">
        <w:rPr>
          <w:szCs w:val="24"/>
        </w:rPr>
        <w:t>2012) wzięło</w:t>
      </w:r>
      <w:r w:rsidR="00DC5A27">
        <w:rPr>
          <w:szCs w:val="24"/>
        </w:rPr>
        <w:t xml:space="preserve"> udział</w:t>
      </w:r>
      <w:r w:rsidRPr="006055E0">
        <w:rPr>
          <w:szCs w:val="24"/>
        </w:rPr>
        <w:t xml:space="preserve"> blisko 120 tysięcy studentów wyjeżdżających oraz 45 tysięcy studentów przyjeżdżających. W wymianie uczestniczyli również pracownicy </w:t>
      </w:r>
      <w:r w:rsidR="00A427DA">
        <w:rPr>
          <w:szCs w:val="24"/>
        </w:rPr>
        <w:t>naukowo-</w:t>
      </w:r>
      <w:r w:rsidRPr="006055E0">
        <w:rPr>
          <w:szCs w:val="24"/>
        </w:rPr>
        <w:t>dydaktyczni uczelni, których</w:t>
      </w:r>
      <w:r w:rsidR="00A048E9">
        <w:rPr>
          <w:szCs w:val="24"/>
        </w:rPr>
        <w:t xml:space="preserve"> </w:t>
      </w:r>
      <w:r w:rsidR="00A048E9" w:rsidRPr="006055E0">
        <w:rPr>
          <w:szCs w:val="24"/>
        </w:rPr>
        <w:t>blisko 32 tysiące</w:t>
      </w:r>
      <w:r w:rsidRPr="006055E0">
        <w:rPr>
          <w:szCs w:val="24"/>
        </w:rPr>
        <w:t xml:space="preserve"> </w:t>
      </w:r>
      <w:r w:rsidR="00A048E9" w:rsidRPr="006055E0">
        <w:rPr>
          <w:szCs w:val="24"/>
        </w:rPr>
        <w:t xml:space="preserve">odbyło </w:t>
      </w:r>
      <w:r w:rsidRPr="006055E0">
        <w:rPr>
          <w:szCs w:val="24"/>
        </w:rPr>
        <w:t>w podobnym okresie dydaktyczny staż zagraniczny (STA)</w:t>
      </w:r>
      <w:r w:rsidR="00A048E9">
        <w:rPr>
          <w:szCs w:val="24"/>
        </w:rPr>
        <w:t>.</w:t>
      </w:r>
      <w:r w:rsidRPr="006055E0">
        <w:rPr>
          <w:szCs w:val="24"/>
        </w:rPr>
        <w:t xml:space="preserve"> </w:t>
      </w:r>
      <w:r w:rsidR="00A048E9">
        <w:rPr>
          <w:szCs w:val="24"/>
        </w:rPr>
        <w:t>Do Polski z kolei przybyło</w:t>
      </w:r>
      <w:r w:rsidR="00900DA7" w:rsidRPr="006055E0">
        <w:rPr>
          <w:szCs w:val="24"/>
        </w:rPr>
        <w:t xml:space="preserve"> 15,5 tysiąca dydaktyków zagranicznych. Zwiększyła się także liczba studentów uczestniczących </w:t>
      </w:r>
      <w:r w:rsidR="009B7EED">
        <w:rPr>
          <w:szCs w:val="24"/>
        </w:rPr>
        <w:t>w</w:t>
      </w:r>
      <w:r w:rsidR="009B7EED" w:rsidRPr="006055E0">
        <w:rPr>
          <w:szCs w:val="24"/>
        </w:rPr>
        <w:t xml:space="preserve"> </w:t>
      </w:r>
      <w:r w:rsidR="00900DA7" w:rsidRPr="006055E0">
        <w:rPr>
          <w:szCs w:val="24"/>
        </w:rPr>
        <w:t>kursach intensywnych (IP), któr</w:t>
      </w:r>
      <w:r w:rsidR="00A048E9">
        <w:rPr>
          <w:szCs w:val="24"/>
        </w:rPr>
        <w:t xml:space="preserve">ych </w:t>
      </w:r>
      <w:r w:rsidR="00900DA7" w:rsidRPr="006055E0">
        <w:rPr>
          <w:szCs w:val="24"/>
        </w:rPr>
        <w:t>w latach 2007</w:t>
      </w:r>
      <w:r w:rsidR="00A048E9">
        <w:rPr>
          <w:szCs w:val="24"/>
        </w:rPr>
        <w:t>–</w:t>
      </w:r>
      <w:r w:rsidR="00900DA7" w:rsidRPr="006055E0">
        <w:rPr>
          <w:szCs w:val="24"/>
        </w:rPr>
        <w:t xml:space="preserve">2012 </w:t>
      </w:r>
      <w:r w:rsidR="00A048E9">
        <w:rPr>
          <w:szCs w:val="24"/>
        </w:rPr>
        <w:t xml:space="preserve">wyjechało </w:t>
      </w:r>
      <w:r w:rsidR="00900DA7" w:rsidRPr="006055E0">
        <w:rPr>
          <w:szCs w:val="24"/>
        </w:rPr>
        <w:t>3193</w:t>
      </w:r>
      <w:r w:rsidR="00A048E9">
        <w:rPr>
          <w:szCs w:val="24"/>
        </w:rPr>
        <w:t>, a przyjechało</w:t>
      </w:r>
      <w:r w:rsidR="00900DA7" w:rsidRPr="006055E0">
        <w:rPr>
          <w:szCs w:val="24"/>
        </w:rPr>
        <w:t xml:space="preserve"> 3195.</w:t>
      </w:r>
    </w:p>
    <w:p w:rsidR="00122A64" w:rsidRDefault="007F2C95" w:rsidP="00122A64">
      <w:pPr>
        <w:pStyle w:val="tekstpods"/>
        <w:rPr>
          <w:szCs w:val="24"/>
        </w:rPr>
      </w:pPr>
      <w:r>
        <w:rPr>
          <w:szCs w:val="24"/>
        </w:rPr>
        <w:t>Mimo rosnącej liczby studentów zagranicznych w naszym kraju zgodnie</w:t>
      </w:r>
      <w:r w:rsidRPr="006055E0">
        <w:rPr>
          <w:szCs w:val="24"/>
        </w:rPr>
        <w:t xml:space="preserve"> </w:t>
      </w:r>
      <w:r>
        <w:rPr>
          <w:szCs w:val="24"/>
        </w:rPr>
        <w:t>z danymi OECD</w:t>
      </w:r>
      <w:r w:rsidR="00122A64">
        <w:rPr>
          <w:szCs w:val="24"/>
        </w:rPr>
        <w:t xml:space="preserve"> (2014)</w:t>
      </w:r>
      <w:r w:rsidRPr="006055E0">
        <w:rPr>
          <w:szCs w:val="24"/>
        </w:rPr>
        <w:t xml:space="preserve"> </w:t>
      </w:r>
      <w:r w:rsidR="00A427DA">
        <w:rPr>
          <w:szCs w:val="24"/>
        </w:rPr>
        <w:t>nasze szkolnictwo wyższe należy do najsłabiej umiędzynarodowionych w UE i w OECD</w:t>
      </w:r>
      <w:r w:rsidRPr="006055E0">
        <w:rPr>
          <w:szCs w:val="24"/>
        </w:rPr>
        <w:t>.</w:t>
      </w:r>
      <w:r w:rsidR="00A427DA">
        <w:rPr>
          <w:szCs w:val="24"/>
        </w:rPr>
        <w:t xml:space="preserve"> W Polsce odsetek studentów zagranicznych jest znacząco mniejszy niż w naj</w:t>
      </w:r>
      <w:r w:rsidR="00DC5A27">
        <w:rPr>
          <w:szCs w:val="24"/>
        </w:rPr>
        <w:t>bardziej</w:t>
      </w:r>
      <w:r w:rsidR="00A427DA">
        <w:rPr>
          <w:szCs w:val="24"/>
        </w:rPr>
        <w:t xml:space="preserve"> rozwiniętych krajach Zachodu czy w Chinach</w:t>
      </w:r>
      <w:r w:rsidR="007523DD">
        <w:rPr>
          <w:szCs w:val="24"/>
        </w:rPr>
        <w:t>, niestety jest on również niższy niż u naszych sąsiadów: w Czechach, na Węgrzech, Słowacji, Litwie, Łotwie czy w Estonii.</w:t>
      </w:r>
    </w:p>
    <w:p w:rsidR="00122A64" w:rsidRDefault="00B63D0E" w:rsidP="00122A64">
      <w:pPr>
        <w:pStyle w:val="tekstpods"/>
        <w:rPr>
          <w:szCs w:val="24"/>
        </w:rPr>
      </w:pPr>
      <w:r w:rsidRPr="006055E0">
        <w:rPr>
          <w:szCs w:val="24"/>
        </w:rPr>
        <w:t xml:space="preserve">Ogółem </w:t>
      </w:r>
      <w:r w:rsidR="000F4F02">
        <w:rPr>
          <w:szCs w:val="24"/>
        </w:rPr>
        <w:t>na</w:t>
      </w:r>
      <w:r w:rsidR="000F4F02" w:rsidRPr="006055E0">
        <w:rPr>
          <w:szCs w:val="24"/>
        </w:rPr>
        <w:t xml:space="preserve"> </w:t>
      </w:r>
      <w:r w:rsidRPr="006055E0">
        <w:rPr>
          <w:szCs w:val="24"/>
        </w:rPr>
        <w:t>polskich uczelniach prowadzonych jest ponad 500 programów studiów w językach obcych, wśród których dominuje język angielski. Większość z nich oferowana jest na uniwersytetach, uczelnie techniczne są na tym polu mniej aktywne</w:t>
      </w:r>
      <w:r w:rsidR="00A048E9">
        <w:rPr>
          <w:szCs w:val="24"/>
        </w:rPr>
        <w:t xml:space="preserve"> –</w:t>
      </w:r>
      <w:r w:rsidRPr="006055E0">
        <w:rPr>
          <w:szCs w:val="24"/>
        </w:rPr>
        <w:t xml:space="preserve"> w roku akademickim 2012/</w:t>
      </w:r>
      <w:r w:rsidR="00895EB7">
        <w:rPr>
          <w:szCs w:val="24"/>
        </w:rPr>
        <w:t>20</w:t>
      </w:r>
      <w:r w:rsidRPr="006055E0">
        <w:rPr>
          <w:szCs w:val="24"/>
        </w:rPr>
        <w:t>13 tylko co czwarty program anglojęzyczny oferowany był wł</w:t>
      </w:r>
      <w:r w:rsidR="00543705" w:rsidRPr="006055E0">
        <w:rPr>
          <w:szCs w:val="24"/>
        </w:rPr>
        <w:t xml:space="preserve">aśnie na uczelni </w:t>
      </w:r>
      <w:r w:rsidR="00543705" w:rsidRPr="006055E0">
        <w:rPr>
          <w:szCs w:val="24"/>
        </w:rPr>
        <w:lastRenderedPageBreak/>
        <w:t xml:space="preserve">technicznej. Te ostatnie są </w:t>
      </w:r>
      <w:r w:rsidRPr="006055E0">
        <w:rPr>
          <w:szCs w:val="24"/>
        </w:rPr>
        <w:t xml:space="preserve">zdecydowanie mniej zinternacjonalizowane niż uczelnie </w:t>
      </w:r>
      <w:r w:rsidR="004478D2" w:rsidRPr="006055E0">
        <w:rPr>
          <w:szCs w:val="24"/>
        </w:rPr>
        <w:t>nietechniczne</w:t>
      </w:r>
      <w:r w:rsidRPr="006055E0">
        <w:rPr>
          <w:szCs w:val="24"/>
        </w:rPr>
        <w:t>.</w:t>
      </w:r>
      <w:r w:rsidR="00F45E90" w:rsidRPr="006055E0">
        <w:rPr>
          <w:szCs w:val="24"/>
        </w:rPr>
        <w:t xml:space="preserve"> Liczba wykładowców zagranicznych zatrudnionych w Polsce jest bardzo niska i wzrasta nieznacznie</w:t>
      </w:r>
      <w:r w:rsidR="00A048E9">
        <w:rPr>
          <w:szCs w:val="24"/>
        </w:rPr>
        <w:t xml:space="preserve"> –</w:t>
      </w:r>
      <w:r w:rsidR="00F45E90" w:rsidRPr="006055E0">
        <w:rPr>
          <w:szCs w:val="24"/>
        </w:rPr>
        <w:t xml:space="preserve"> w roku akademickim 2012/</w:t>
      </w:r>
      <w:r w:rsidR="00A048E9">
        <w:rPr>
          <w:szCs w:val="24"/>
        </w:rPr>
        <w:t>20</w:t>
      </w:r>
      <w:r w:rsidR="00F45E90" w:rsidRPr="006055E0">
        <w:rPr>
          <w:szCs w:val="24"/>
        </w:rPr>
        <w:t xml:space="preserve">13 było ich 1770, </w:t>
      </w:r>
      <w:r w:rsidR="004478D2" w:rsidRPr="006055E0">
        <w:rPr>
          <w:szCs w:val="24"/>
        </w:rPr>
        <w:t>a więc</w:t>
      </w:r>
      <w:r w:rsidR="00F45E90" w:rsidRPr="006055E0">
        <w:rPr>
          <w:szCs w:val="24"/>
        </w:rPr>
        <w:t xml:space="preserve"> tylko o 4</w:t>
      </w:r>
      <w:r w:rsidR="00A048E9">
        <w:rPr>
          <w:szCs w:val="24"/>
        </w:rPr>
        <w:t xml:space="preserve"> proc. </w:t>
      </w:r>
      <w:r w:rsidR="00F45E90" w:rsidRPr="006055E0">
        <w:rPr>
          <w:szCs w:val="24"/>
        </w:rPr>
        <w:t>więcej niż</w:t>
      </w:r>
      <w:r w:rsidR="00A048E9">
        <w:rPr>
          <w:szCs w:val="24"/>
        </w:rPr>
        <w:t xml:space="preserve"> w roku akademickim </w:t>
      </w:r>
      <w:r w:rsidR="00F45E90" w:rsidRPr="006055E0">
        <w:rPr>
          <w:szCs w:val="24"/>
        </w:rPr>
        <w:t>2007/</w:t>
      </w:r>
      <w:r w:rsidR="00A048E9">
        <w:rPr>
          <w:szCs w:val="24"/>
        </w:rPr>
        <w:t>20</w:t>
      </w:r>
      <w:r w:rsidR="00F45E90" w:rsidRPr="006055E0">
        <w:rPr>
          <w:szCs w:val="24"/>
        </w:rPr>
        <w:t>08.</w:t>
      </w:r>
    </w:p>
    <w:p w:rsidR="00122A64" w:rsidRDefault="00BD410C" w:rsidP="00122A64">
      <w:pPr>
        <w:pStyle w:val="tekstpods"/>
        <w:rPr>
          <w:szCs w:val="24"/>
        </w:rPr>
      </w:pPr>
      <w:r w:rsidRPr="006055E0">
        <w:rPr>
          <w:szCs w:val="24"/>
        </w:rPr>
        <w:t>Niewiele polskich uczelni</w:t>
      </w:r>
      <w:r w:rsidR="00A048E9">
        <w:rPr>
          <w:szCs w:val="24"/>
        </w:rPr>
        <w:t>,</w:t>
      </w:r>
      <w:r w:rsidRPr="006055E0">
        <w:rPr>
          <w:szCs w:val="24"/>
        </w:rPr>
        <w:t xml:space="preserve"> </w:t>
      </w:r>
      <w:r w:rsidR="00A048E9" w:rsidRPr="006055E0">
        <w:rPr>
          <w:szCs w:val="24"/>
        </w:rPr>
        <w:t xml:space="preserve">zwłaszcza </w:t>
      </w:r>
      <w:r w:rsidR="00895EB7">
        <w:rPr>
          <w:szCs w:val="24"/>
        </w:rPr>
        <w:t>tych</w:t>
      </w:r>
      <w:r w:rsidR="00895EB7" w:rsidRPr="006055E0">
        <w:rPr>
          <w:szCs w:val="24"/>
        </w:rPr>
        <w:t xml:space="preserve"> </w:t>
      </w:r>
      <w:r w:rsidR="00A048E9" w:rsidRPr="006055E0">
        <w:rPr>
          <w:szCs w:val="24"/>
        </w:rPr>
        <w:t>z sektora publicznego</w:t>
      </w:r>
      <w:r w:rsidR="00A048E9">
        <w:rPr>
          <w:szCs w:val="24"/>
        </w:rPr>
        <w:t>,</w:t>
      </w:r>
      <w:r w:rsidR="00A048E9" w:rsidRPr="006055E0">
        <w:rPr>
          <w:szCs w:val="24"/>
        </w:rPr>
        <w:t xml:space="preserve"> </w:t>
      </w:r>
      <w:r w:rsidRPr="006055E0">
        <w:rPr>
          <w:szCs w:val="24"/>
        </w:rPr>
        <w:t>stara się o akredytacje międzynarodowe. Nie odczuwają one prawdopodobnie jeszcze presji rzeczywistej konkurencji i walki o najlepszych studentów z kraju czy z zagranicy. Zresztą, studenci polscy nie wymuszają na uczelniach zainteresowania takimi akredytacjami i w pełni zadowalają się ce</w:t>
      </w:r>
      <w:r w:rsidR="00A40533" w:rsidRPr="006055E0">
        <w:rPr>
          <w:szCs w:val="24"/>
        </w:rPr>
        <w:t>rtyfikacją wewnętrzną. W rezultacie t</w:t>
      </w:r>
      <w:r w:rsidRPr="006055E0">
        <w:rPr>
          <w:szCs w:val="24"/>
        </w:rPr>
        <w:t>ylko jedna polska</w:t>
      </w:r>
      <w:r w:rsidR="00A048E9">
        <w:rPr>
          <w:szCs w:val="24"/>
        </w:rPr>
        <w:t xml:space="preserve"> uczelnia –</w:t>
      </w:r>
      <w:r w:rsidRPr="006055E0">
        <w:rPr>
          <w:szCs w:val="24"/>
        </w:rPr>
        <w:t xml:space="preserve"> niepubliczna</w:t>
      </w:r>
      <w:r w:rsidR="00A048E9">
        <w:rPr>
          <w:szCs w:val="24"/>
        </w:rPr>
        <w:t xml:space="preserve"> –</w:t>
      </w:r>
      <w:r w:rsidR="00974B26" w:rsidRPr="006055E0">
        <w:rPr>
          <w:szCs w:val="24"/>
        </w:rPr>
        <w:t xml:space="preserve"> Akademia Leona Koźmińskiego</w:t>
      </w:r>
      <w:r w:rsidRPr="006055E0">
        <w:rPr>
          <w:szCs w:val="24"/>
        </w:rPr>
        <w:t xml:space="preserve">, posiada </w:t>
      </w:r>
      <w:r w:rsidR="00974B26" w:rsidRPr="006055E0">
        <w:rPr>
          <w:szCs w:val="24"/>
        </w:rPr>
        <w:t xml:space="preserve">„potrójną” </w:t>
      </w:r>
      <w:r w:rsidRPr="006055E0">
        <w:rPr>
          <w:szCs w:val="24"/>
        </w:rPr>
        <w:t>akredytację EQUIS</w:t>
      </w:r>
      <w:r w:rsidR="00974B26" w:rsidRPr="006055E0">
        <w:rPr>
          <w:szCs w:val="24"/>
        </w:rPr>
        <w:t>, AACSB oraz AMBA</w:t>
      </w:r>
      <w:r w:rsidR="00A048E9">
        <w:rPr>
          <w:szCs w:val="24"/>
        </w:rPr>
        <w:t xml:space="preserve"> </w:t>
      </w:r>
      <w:r w:rsidR="001B523E">
        <w:rPr>
          <w:szCs w:val="24"/>
        </w:rPr>
        <w:t xml:space="preserve">(żadna inna </w:t>
      </w:r>
      <w:r w:rsidR="00895EB7">
        <w:rPr>
          <w:szCs w:val="24"/>
        </w:rPr>
        <w:t xml:space="preserve">placówka </w:t>
      </w:r>
      <w:r w:rsidR="001B523E">
        <w:rPr>
          <w:szCs w:val="24"/>
        </w:rPr>
        <w:t>nie posiada chociażby jednej z wymienionych akredytacji)</w:t>
      </w:r>
      <w:r w:rsidR="00974B26" w:rsidRPr="006055E0">
        <w:rPr>
          <w:szCs w:val="24"/>
        </w:rPr>
        <w:t>.</w:t>
      </w:r>
    </w:p>
    <w:p w:rsidR="00122A64" w:rsidRDefault="001458D1" w:rsidP="00122A64">
      <w:pPr>
        <w:pStyle w:val="tekstpods"/>
        <w:rPr>
          <w:szCs w:val="24"/>
        </w:rPr>
      </w:pPr>
      <w:r w:rsidRPr="006055E0">
        <w:rPr>
          <w:szCs w:val="24"/>
        </w:rPr>
        <w:t>Również światowe rankingi nie wzbudzają wielkiego zainteresowania uczelni w Polsce. O ile przyzwyczailiśmy się już do tych, które przeprowadzane są na poziomie krajowym</w:t>
      </w:r>
      <w:r w:rsidR="00A048E9">
        <w:rPr>
          <w:szCs w:val="24"/>
        </w:rPr>
        <w:t xml:space="preserve"> (spośród nich </w:t>
      </w:r>
      <w:r w:rsidRPr="006055E0">
        <w:rPr>
          <w:szCs w:val="24"/>
        </w:rPr>
        <w:t>najpoważniej traktowane są</w:t>
      </w:r>
      <w:r w:rsidR="00A048E9">
        <w:rPr>
          <w:szCs w:val="24"/>
        </w:rPr>
        <w:t xml:space="preserve"> rankingi „</w:t>
      </w:r>
      <w:r w:rsidRPr="006055E0">
        <w:rPr>
          <w:szCs w:val="24"/>
        </w:rPr>
        <w:t>Perspektyw</w:t>
      </w:r>
      <w:r w:rsidR="00A048E9">
        <w:rPr>
          <w:szCs w:val="24"/>
        </w:rPr>
        <w:t>”</w:t>
      </w:r>
      <w:r w:rsidRPr="006055E0">
        <w:rPr>
          <w:szCs w:val="24"/>
        </w:rPr>
        <w:t xml:space="preserve">, </w:t>
      </w:r>
      <w:r w:rsidR="00A048E9">
        <w:rPr>
          <w:szCs w:val="24"/>
        </w:rPr>
        <w:t>„</w:t>
      </w:r>
      <w:r w:rsidRPr="006055E0">
        <w:rPr>
          <w:szCs w:val="24"/>
        </w:rPr>
        <w:t>Rzeczpospolitej</w:t>
      </w:r>
      <w:r w:rsidR="00A048E9">
        <w:rPr>
          <w:szCs w:val="24"/>
        </w:rPr>
        <w:t>”</w:t>
      </w:r>
      <w:r w:rsidRPr="006055E0">
        <w:rPr>
          <w:szCs w:val="24"/>
        </w:rPr>
        <w:t xml:space="preserve">, </w:t>
      </w:r>
      <w:r w:rsidR="00A048E9">
        <w:rPr>
          <w:szCs w:val="24"/>
        </w:rPr>
        <w:t>„</w:t>
      </w:r>
      <w:r w:rsidRPr="006055E0">
        <w:rPr>
          <w:szCs w:val="24"/>
        </w:rPr>
        <w:t>Polityki</w:t>
      </w:r>
      <w:r w:rsidR="00A048E9">
        <w:rPr>
          <w:szCs w:val="24"/>
        </w:rPr>
        <w:t>”</w:t>
      </w:r>
      <w:r w:rsidRPr="006055E0">
        <w:rPr>
          <w:szCs w:val="24"/>
        </w:rPr>
        <w:t xml:space="preserve"> czy </w:t>
      </w:r>
      <w:r w:rsidR="00A048E9">
        <w:rPr>
          <w:szCs w:val="24"/>
        </w:rPr>
        <w:t>„</w:t>
      </w:r>
      <w:proofErr w:type="spellStart"/>
      <w:r w:rsidRPr="006055E0">
        <w:rPr>
          <w:szCs w:val="24"/>
        </w:rPr>
        <w:t>Wprost</w:t>
      </w:r>
      <w:r w:rsidR="00895EB7">
        <w:rPr>
          <w:szCs w:val="24"/>
        </w:rPr>
        <w:t>u</w:t>
      </w:r>
      <w:proofErr w:type="spellEnd"/>
      <w:r w:rsidR="00A048E9">
        <w:rPr>
          <w:szCs w:val="24"/>
        </w:rPr>
        <w:t>”)</w:t>
      </w:r>
      <w:r w:rsidRPr="006055E0">
        <w:rPr>
          <w:szCs w:val="24"/>
        </w:rPr>
        <w:t xml:space="preserve">, o tyle bardzo rzadko zabiegamy o </w:t>
      </w:r>
      <w:r w:rsidR="00012E88">
        <w:rPr>
          <w:szCs w:val="24"/>
        </w:rPr>
        <w:t xml:space="preserve">wysokie </w:t>
      </w:r>
      <w:r w:rsidRPr="006055E0">
        <w:rPr>
          <w:szCs w:val="24"/>
        </w:rPr>
        <w:t>pozycj</w:t>
      </w:r>
      <w:r w:rsidR="00012E88">
        <w:rPr>
          <w:szCs w:val="24"/>
        </w:rPr>
        <w:t>e</w:t>
      </w:r>
      <w:r w:rsidRPr="006055E0">
        <w:rPr>
          <w:szCs w:val="24"/>
        </w:rPr>
        <w:t xml:space="preserve"> w rankingach międzynarodowych, choćby tych najbardziej znanych, jak w</w:t>
      </w:r>
      <w:r w:rsidR="00895EB7">
        <w:rPr>
          <w:szCs w:val="24"/>
        </w:rPr>
        <w:t>ymieniony</w:t>
      </w:r>
      <w:r w:rsidRPr="006055E0">
        <w:rPr>
          <w:szCs w:val="24"/>
        </w:rPr>
        <w:t xml:space="preserve"> „szanghajski”, w którym </w:t>
      </w:r>
      <w:r w:rsidR="00A427DA">
        <w:rPr>
          <w:szCs w:val="24"/>
        </w:rPr>
        <w:t xml:space="preserve">w roku 2014 </w:t>
      </w:r>
      <w:r w:rsidRPr="006055E0">
        <w:rPr>
          <w:szCs w:val="24"/>
        </w:rPr>
        <w:t>znalazło się tylko pięć polskich uczelni</w:t>
      </w:r>
      <w:r w:rsidR="006E08EF" w:rsidRPr="006055E0">
        <w:rPr>
          <w:rStyle w:val="Odwoanieprzypisudolnego"/>
          <w:szCs w:val="24"/>
        </w:rPr>
        <w:footnoteReference w:id="16"/>
      </w:r>
      <w:r w:rsidR="00A048E9">
        <w:rPr>
          <w:szCs w:val="24"/>
        </w:rPr>
        <w:t>.</w:t>
      </w:r>
    </w:p>
    <w:p w:rsidR="00122A64" w:rsidRDefault="00507173" w:rsidP="00122A64">
      <w:pPr>
        <w:pStyle w:val="tekstpods"/>
        <w:rPr>
          <w:szCs w:val="24"/>
        </w:rPr>
      </w:pPr>
      <w:r>
        <w:rPr>
          <w:szCs w:val="24"/>
        </w:rPr>
        <w:t xml:space="preserve">Jedną z przyczyn niewielkiej liczby studentów spoza UE w Polsce jest niewątpliwie dość </w:t>
      </w:r>
      <w:r w:rsidR="00A208EE">
        <w:rPr>
          <w:szCs w:val="24"/>
        </w:rPr>
        <w:t>nieprzyjazna</w:t>
      </w:r>
      <w:r>
        <w:rPr>
          <w:szCs w:val="24"/>
        </w:rPr>
        <w:t xml:space="preserve"> polityka imigracyjna. </w:t>
      </w:r>
      <w:r w:rsidR="004157F6" w:rsidRPr="006055E0">
        <w:rPr>
          <w:szCs w:val="24"/>
        </w:rPr>
        <w:t>Z perspektywy studenta zagranicznego</w:t>
      </w:r>
      <w:r w:rsidR="007523DD">
        <w:rPr>
          <w:szCs w:val="24"/>
        </w:rPr>
        <w:t xml:space="preserve"> spoza UE</w:t>
      </w:r>
      <w:r w:rsidR="004157F6" w:rsidRPr="006055E0">
        <w:rPr>
          <w:szCs w:val="24"/>
        </w:rPr>
        <w:t xml:space="preserve"> studiującego w Polsce szczególnie odczuwalny </w:t>
      </w:r>
      <w:r>
        <w:rPr>
          <w:szCs w:val="24"/>
        </w:rPr>
        <w:t>był</w:t>
      </w:r>
      <w:r w:rsidRPr="006055E0">
        <w:rPr>
          <w:szCs w:val="24"/>
        </w:rPr>
        <w:t xml:space="preserve"> </w:t>
      </w:r>
      <w:r w:rsidR="004157F6" w:rsidRPr="006055E0">
        <w:rPr>
          <w:szCs w:val="24"/>
        </w:rPr>
        <w:t xml:space="preserve">brak </w:t>
      </w:r>
      <w:r w:rsidR="005D47ED" w:rsidRPr="006055E0">
        <w:rPr>
          <w:szCs w:val="24"/>
        </w:rPr>
        <w:t xml:space="preserve">długoletniej wizy studenckiej. </w:t>
      </w:r>
      <w:r w:rsidR="007523DD">
        <w:rPr>
          <w:szCs w:val="24"/>
        </w:rPr>
        <w:t xml:space="preserve">Do </w:t>
      </w:r>
      <w:r w:rsidR="009634B9">
        <w:rPr>
          <w:szCs w:val="24"/>
        </w:rPr>
        <w:t>2014</w:t>
      </w:r>
      <w:r w:rsidR="007523DD">
        <w:rPr>
          <w:szCs w:val="24"/>
        </w:rPr>
        <w:t xml:space="preserve"> roku</w:t>
      </w:r>
      <w:r w:rsidR="005D47ED" w:rsidRPr="006055E0">
        <w:rPr>
          <w:szCs w:val="24"/>
        </w:rPr>
        <w:t xml:space="preserve"> wydawane </w:t>
      </w:r>
      <w:r w:rsidR="007523DD">
        <w:rPr>
          <w:szCs w:val="24"/>
        </w:rPr>
        <w:t>były</w:t>
      </w:r>
      <w:r w:rsidR="005D47ED" w:rsidRPr="006055E0">
        <w:rPr>
          <w:szCs w:val="24"/>
        </w:rPr>
        <w:t xml:space="preserve"> wyłącznie wizy roczne i cała dość mozolna </w:t>
      </w:r>
      <w:r w:rsidR="00B871E7">
        <w:rPr>
          <w:szCs w:val="24"/>
        </w:rPr>
        <w:t>oraz</w:t>
      </w:r>
      <w:r w:rsidR="005D47ED" w:rsidRPr="006055E0">
        <w:rPr>
          <w:szCs w:val="24"/>
        </w:rPr>
        <w:t xml:space="preserve"> kosztowna procedura</w:t>
      </w:r>
      <w:r>
        <w:rPr>
          <w:szCs w:val="24"/>
        </w:rPr>
        <w:t xml:space="preserve"> występowania o legalizację pobytu</w:t>
      </w:r>
      <w:r w:rsidR="005D47ED" w:rsidRPr="006055E0">
        <w:rPr>
          <w:szCs w:val="24"/>
        </w:rPr>
        <w:t xml:space="preserve"> musi</w:t>
      </w:r>
      <w:r w:rsidR="007523DD">
        <w:rPr>
          <w:szCs w:val="24"/>
        </w:rPr>
        <w:t>ała</w:t>
      </w:r>
      <w:r w:rsidR="005D47ED" w:rsidRPr="006055E0">
        <w:rPr>
          <w:szCs w:val="24"/>
        </w:rPr>
        <w:t xml:space="preserve"> być </w:t>
      </w:r>
      <w:r w:rsidR="009634B9">
        <w:rPr>
          <w:szCs w:val="24"/>
        </w:rPr>
        <w:t xml:space="preserve">regularnie </w:t>
      </w:r>
      <w:r w:rsidR="005D47ED" w:rsidRPr="006055E0">
        <w:rPr>
          <w:szCs w:val="24"/>
        </w:rPr>
        <w:t>powtarzana.</w:t>
      </w:r>
      <w:r w:rsidR="00133A45">
        <w:rPr>
          <w:szCs w:val="24"/>
        </w:rPr>
        <w:t xml:space="preserve"> </w:t>
      </w:r>
      <w:r>
        <w:rPr>
          <w:szCs w:val="24"/>
        </w:rPr>
        <w:t xml:space="preserve">Sytuację zmieniła nieco nowa ustawa o cudzoziemcach, która weszła w życie w maju 2014 roku. Pozwoliła ona na wydłużenie legalizacji pobytu studenta do </w:t>
      </w:r>
      <w:r w:rsidR="009634B9">
        <w:rPr>
          <w:szCs w:val="24"/>
        </w:rPr>
        <w:t xml:space="preserve">końca okresu </w:t>
      </w:r>
      <w:r>
        <w:rPr>
          <w:szCs w:val="24"/>
        </w:rPr>
        <w:t>planowanych studiów</w:t>
      </w:r>
      <w:r w:rsidR="00133A45">
        <w:rPr>
          <w:szCs w:val="24"/>
        </w:rPr>
        <w:t>.</w:t>
      </w:r>
      <w:r>
        <w:rPr>
          <w:szCs w:val="24"/>
        </w:rPr>
        <w:t xml:space="preserve"> Warto byłoby również jak najszybciej wdrożyć dla tych samych studentów ułatwienia w </w:t>
      </w:r>
      <w:r w:rsidR="00137E1A">
        <w:rPr>
          <w:szCs w:val="24"/>
        </w:rPr>
        <w:t xml:space="preserve">zakresie </w:t>
      </w:r>
      <w:r>
        <w:rPr>
          <w:szCs w:val="24"/>
        </w:rPr>
        <w:t>podejmowani</w:t>
      </w:r>
      <w:r w:rsidR="00137E1A">
        <w:rPr>
          <w:szCs w:val="24"/>
        </w:rPr>
        <w:t>a</w:t>
      </w:r>
      <w:r>
        <w:rPr>
          <w:szCs w:val="24"/>
        </w:rPr>
        <w:t xml:space="preserve"> </w:t>
      </w:r>
      <w:r w:rsidR="00210FE0">
        <w:rPr>
          <w:szCs w:val="24"/>
        </w:rPr>
        <w:t xml:space="preserve">pracy, bez tego trudno będzie </w:t>
      </w:r>
      <w:r w:rsidR="00137E1A">
        <w:rPr>
          <w:szCs w:val="24"/>
        </w:rPr>
        <w:t xml:space="preserve">bowiem </w:t>
      </w:r>
      <w:r w:rsidR="00210FE0">
        <w:rPr>
          <w:szCs w:val="24"/>
        </w:rPr>
        <w:t>zbudować pozycję konkurencyjn</w:t>
      </w:r>
      <w:r w:rsidR="00137E1A">
        <w:rPr>
          <w:szCs w:val="24"/>
        </w:rPr>
        <w:t>ą</w:t>
      </w:r>
      <w:r w:rsidR="00210FE0">
        <w:rPr>
          <w:szCs w:val="24"/>
        </w:rPr>
        <w:t xml:space="preserve"> w stosunku do innych państw, które ściągają </w:t>
      </w:r>
      <w:r w:rsidR="00137E1A">
        <w:rPr>
          <w:szCs w:val="24"/>
        </w:rPr>
        <w:t xml:space="preserve">ich </w:t>
      </w:r>
      <w:r w:rsidR="00210FE0">
        <w:rPr>
          <w:szCs w:val="24"/>
        </w:rPr>
        <w:t>do siebie.</w:t>
      </w:r>
    </w:p>
    <w:p w:rsidR="00122A64" w:rsidRDefault="004C7810" w:rsidP="00122A64">
      <w:pPr>
        <w:pStyle w:val="tekstpods"/>
        <w:rPr>
          <w:szCs w:val="24"/>
        </w:rPr>
      </w:pPr>
      <w:r w:rsidRPr="006055E0">
        <w:rPr>
          <w:szCs w:val="24"/>
        </w:rPr>
        <w:t xml:space="preserve">W </w:t>
      </w:r>
      <w:r w:rsidR="00137E1A">
        <w:rPr>
          <w:szCs w:val="24"/>
        </w:rPr>
        <w:t xml:space="preserve">Polsce </w:t>
      </w:r>
      <w:r w:rsidRPr="006055E0">
        <w:rPr>
          <w:szCs w:val="24"/>
        </w:rPr>
        <w:t>brakuje też z pewnością agendy rządowej reprezentującej interesy polskich uczelni wyższych na świecie</w:t>
      </w:r>
      <w:r w:rsidR="00B63E03">
        <w:rPr>
          <w:szCs w:val="24"/>
        </w:rPr>
        <w:t xml:space="preserve"> – </w:t>
      </w:r>
      <w:r w:rsidRPr="006055E0">
        <w:rPr>
          <w:szCs w:val="24"/>
        </w:rPr>
        <w:t>tak</w:t>
      </w:r>
      <w:r w:rsidR="00B871E7">
        <w:rPr>
          <w:szCs w:val="24"/>
        </w:rPr>
        <w:t>iej</w:t>
      </w:r>
      <w:r w:rsidR="00B63E03">
        <w:rPr>
          <w:szCs w:val="24"/>
        </w:rPr>
        <w:t>,</w:t>
      </w:r>
      <w:r w:rsidRPr="006055E0">
        <w:rPr>
          <w:szCs w:val="24"/>
        </w:rPr>
        <w:t xml:space="preserve"> jak</w:t>
      </w:r>
      <w:r w:rsidR="00B871E7">
        <w:rPr>
          <w:szCs w:val="24"/>
        </w:rPr>
        <w:t>ie</w:t>
      </w:r>
      <w:r w:rsidRPr="006055E0">
        <w:rPr>
          <w:szCs w:val="24"/>
        </w:rPr>
        <w:t xml:space="preserve"> </w:t>
      </w:r>
      <w:r w:rsidR="00B871E7">
        <w:rPr>
          <w:szCs w:val="24"/>
        </w:rPr>
        <w:t>istnieją</w:t>
      </w:r>
      <w:r w:rsidRPr="006055E0">
        <w:rPr>
          <w:szCs w:val="24"/>
        </w:rPr>
        <w:t xml:space="preserve"> w innych krajach, do których należą także państwa UE</w:t>
      </w:r>
      <w:r w:rsidR="00061F29">
        <w:rPr>
          <w:szCs w:val="24"/>
        </w:rPr>
        <w:t xml:space="preserve"> – </w:t>
      </w:r>
      <w:r w:rsidRPr="006055E0">
        <w:rPr>
          <w:szCs w:val="24"/>
        </w:rPr>
        <w:t xml:space="preserve">wspomniane już wcześniej Niemcy, Francja czy Holandia. Brak ten </w:t>
      </w:r>
      <w:r w:rsidR="00731502">
        <w:rPr>
          <w:szCs w:val="24"/>
        </w:rPr>
        <w:t xml:space="preserve">stanowi problem </w:t>
      </w:r>
      <w:r w:rsidRPr="006055E0">
        <w:rPr>
          <w:szCs w:val="24"/>
        </w:rPr>
        <w:t>szczególnie w kontekście budowania wizerunk</w:t>
      </w:r>
      <w:r w:rsidR="007523DD">
        <w:rPr>
          <w:szCs w:val="24"/>
        </w:rPr>
        <w:t>u</w:t>
      </w:r>
      <w:r w:rsidRPr="006055E0">
        <w:rPr>
          <w:szCs w:val="24"/>
        </w:rPr>
        <w:t xml:space="preserve"> Polski za granicą i to zarówno przy okazji imprez targowych, na który</w:t>
      </w:r>
      <w:r w:rsidR="00B978EB" w:rsidRPr="006055E0">
        <w:rPr>
          <w:szCs w:val="24"/>
        </w:rPr>
        <w:t xml:space="preserve">ch </w:t>
      </w:r>
      <w:r w:rsidR="008E1149">
        <w:rPr>
          <w:szCs w:val="24"/>
        </w:rPr>
        <w:t xml:space="preserve">zagraniczne uczelnie </w:t>
      </w:r>
      <w:r w:rsidR="00061F29">
        <w:rPr>
          <w:szCs w:val="24"/>
        </w:rPr>
        <w:t xml:space="preserve">prezentują się </w:t>
      </w:r>
      <w:r w:rsidR="008E1149">
        <w:rPr>
          <w:szCs w:val="24"/>
        </w:rPr>
        <w:t xml:space="preserve">w skoordynowany i zaplanowany sposób </w:t>
      </w:r>
      <w:r w:rsidR="00B978EB" w:rsidRPr="006055E0">
        <w:rPr>
          <w:szCs w:val="24"/>
        </w:rPr>
        <w:t xml:space="preserve">w specjalnie przygotowanych </w:t>
      </w:r>
      <w:r w:rsidR="008B719F">
        <w:rPr>
          <w:szCs w:val="24"/>
        </w:rPr>
        <w:t>do</w:t>
      </w:r>
      <w:r w:rsidR="00B978EB" w:rsidRPr="006055E0">
        <w:rPr>
          <w:szCs w:val="24"/>
        </w:rPr>
        <w:t xml:space="preserve"> te</w:t>
      </w:r>
      <w:r w:rsidR="008B719F">
        <w:rPr>
          <w:szCs w:val="24"/>
        </w:rPr>
        <w:t>go</w:t>
      </w:r>
      <w:r w:rsidR="00B978EB" w:rsidRPr="006055E0">
        <w:rPr>
          <w:szCs w:val="24"/>
        </w:rPr>
        <w:t xml:space="preserve"> cel</w:t>
      </w:r>
      <w:r w:rsidR="008B719F">
        <w:rPr>
          <w:szCs w:val="24"/>
        </w:rPr>
        <w:t>u</w:t>
      </w:r>
      <w:r w:rsidR="00B978EB" w:rsidRPr="006055E0">
        <w:rPr>
          <w:szCs w:val="24"/>
        </w:rPr>
        <w:t xml:space="preserve"> przestrzeniach targowych, jak i w kontekście innych możliwych działań promocyjnych</w:t>
      </w:r>
      <w:r w:rsidR="008B719F">
        <w:rPr>
          <w:szCs w:val="24"/>
        </w:rPr>
        <w:t>,</w:t>
      </w:r>
      <w:r w:rsidR="00B978EB" w:rsidRPr="006055E0">
        <w:rPr>
          <w:szCs w:val="24"/>
        </w:rPr>
        <w:t xml:space="preserve"> takich jak: współpraca z międzynarodowymi agencjami reklamowymi czy rekrutacyjnymi, tworzenie ram politycznych do indywidualnej, </w:t>
      </w:r>
      <w:r w:rsidR="008E27E1" w:rsidRPr="006055E0">
        <w:rPr>
          <w:szCs w:val="24"/>
        </w:rPr>
        <w:t xml:space="preserve">często </w:t>
      </w:r>
      <w:r w:rsidR="00B978EB" w:rsidRPr="006055E0">
        <w:rPr>
          <w:szCs w:val="24"/>
        </w:rPr>
        <w:t>oddolnej współpracy akademickiej, wspieranie międzynarodowej działalności akredytacyjnej uczelni czy też mobilności kadr lub studentów.</w:t>
      </w:r>
      <w:r w:rsidR="0034011F" w:rsidRPr="006055E0">
        <w:rPr>
          <w:szCs w:val="24"/>
        </w:rPr>
        <w:t xml:space="preserve"> </w:t>
      </w:r>
      <w:r w:rsidR="0034011F" w:rsidRPr="006055E0">
        <w:rPr>
          <w:szCs w:val="24"/>
        </w:rPr>
        <w:lastRenderedPageBreak/>
        <w:t>Wprawdzie w 2012 r. ruszył plan promocji polskiego szkolnictwa</w:t>
      </w:r>
      <w:r w:rsidR="00664B0B" w:rsidRPr="006055E0">
        <w:rPr>
          <w:szCs w:val="24"/>
        </w:rPr>
        <w:t xml:space="preserve"> wyższego </w:t>
      </w:r>
      <w:r w:rsidR="0034011F" w:rsidRPr="006055E0">
        <w:rPr>
          <w:szCs w:val="24"/>
        </w:rPr>
        <w:t>za granicą</w:t>
      </w:r>
      <w:r w:rsidR="008B719F">
        <w:rPr>
          <w:szCs w:val="24"/>
        </w:rPr>
        <w:t>,</w:t>
      </w:r>
      <w:r w:rsidR="0034011F" w:rsidRPr="006055E0">
        <w:rPr>
          <w:szCs w:val="24"/>
        </w:rPr>
        <w:t xml:space="preserve"> prowadzony przez Ministerstwo</w:t>
      </w:r>
      <w:r w:rsidR="005322FE" w:rsidRPr="006055E0">
        <w:rPr>
          <w:szCs w:val="24"/>
        </w:rPr>
        <w:t xml:space="preserve"> Nauki i Szkolnictwa Wyższego</w:t>
      </w:r>
      <w:r w:rsidR="0034011F" w:rsidRPr="006055E0">
        <w:rPr>
          <w:szCs w:val="24"/>
        </w:rPr>
        <w:t xml:space="preserve"> we współpracy z </w:t>
      </w:r>
      <w:r w:rsidR="00B1520C" w:rsidRPr="006055E0">
        <w:rPr>
          <w:szCs w:val="24"/>
        </w:rPr>
        <w:t>Ministerstwem</w:t>
      </w:r>
      <w:r w:rsidR="0034011F" w:rsidRPr="006055E0">
        <w:rPr>
          <w:szCs w:val="24"/>
        </w:rPr>
        <w:t xml:space="preserve"> Spraw Zagranicznych</w:t>
      </w:r>
      <w:r w:rsidR="00664B0B" w:rsidRPr="006055E0">
        <w:rPr>
          <w:szCs w:val="24"/>
        </w:rPr>
        <w:t>, pod hasłem</w:t>
      </w:r>
      <w:r w:rsidR="005322FE" w:rsidRPr="006055E0">
        <w:rPr>
          <w:szCs w:val="24"/>
        </w:rPr>
        <w:t xml:space="preserve"> </w:t>
      </w:r>
      <w:proofErr w:type="spellStart"/>
      <w:r w:rsidR="005322FE" w:rsidRPr="006055E0">
        <w:rPr>
          <w:i/>
          <w:szCs w:val="24"/>
        </w:rPr>
        <w:t>Ready</w:t>
      </w:r>
      <w:proofErr w:type="spellEnd"/>
      <w:r w:rsidR="005322FE" w:rsidRPr="006055E0">
        <w:rPr>
          <w:i/>
          <w:szCs w:val="24"/>
        </w:rPr>
        <w:t xml:space="preserve">, </w:t>
      </w:r>
      <w:proofErr w:type="spellStart"/>
      <w:r w:rsidR="005322FE" w:rsidRPr="006055E0">
        <w:rPr>
          <w:i/>
          <w:szCs w:val="24"/>
        </w:rPr>
        <w:t>Study</w:t>
      </w:r>
      <w:proofErr w:type="spellEnd"/>
      <w:r w:rsidR="005322FE" w:rsidRPr="006055E0">
        <w:rPr>
          <w:i/>
          <w:szCs w:val="24"/>
        </w:rPr>
        <w:t>, Go! Poland</w:t>
      </w:r>
      <w:r w:rsidR="00664B0B" w:rsidRPr="006055E0">
        <w:rPr>
          <w:szCs w:val="24"/>
        </w:rPr>
        <w:t xml:space="preserve">, w ramach którego </w:t>
      </w:r>
      <w:r w:rsidR="005322FE" w:rsidRPr="006055E0">
        <w:rPr>
          <w:szCs w:val="24"/>
        </w:rPr>
        <w:t>wspiera</w:t>
      </w:r>
      <w:r w:rsidR="00664B0B" w:rsidRPr="006055E0">
        <w:rPr>
          <w:szCs w:val="24"/>
        </w:rPr>
        <w:t>ne są</w:t>
      </w:r>
      <w:r w:rsidR="005322FE" w:rsidRPr="006055E0">
        <w:rPr>
          <w:szCs w:val="24"/>
        </w:rPr>
        <w:t xml:space="preserve"> uczelnie chcące uczestniczyć w międzynarodowych imprezach targowych i konferencyjnych, jednak ciągle </w:t>
      </w:r>
      <w:r w:rsidR="00FA52F8">
        <w:rPr>
          <w:szCs w:val="24"/>
        </w:rPr>
        <w:t xml:space="preserve">jest to </w:t>
      </w:r>
      <w:r w:rsidR="005322FE" w:rsidRPr="006055E0">
        <w:rPr>
          <w:szCs w:val="24"/>
        </w:rPr>
        <w:t>jeszcze kropla w morzu potrzeb.</w:t>
      </w:r>
    </w:p>
    <w:p w:rsidR="00B7157A" w:rsidRPr="00122A64" w:rsidRDefault="006E08EF" w:rsidP="00122A64">
      <w:pPr>
        <w:pStyle w:val="tekstpods"/>
      </w:pPr>
      <w:r w:rsidRPr="006055E0">
        <w:rPr>
          <w:szCs w:val="24"/>
        </w:rPr>
        <w:t xml:space="preserve">W Polsce </w:t>
      </w:r>
      <w:r w:rsidR="008B719F">
        <w:rPr>
          <w:szCs w:val="24"/>
        </w:rPr>
        <w:t xml:space="preserve">nadal </w:t>
      </w:r>
      <w:r w:rsidRPr="006055E0">
        <w:rPr>
          <w:szCs w:val="24"/>
        </w:rPr>
        <w:t>jeszcze</w:t>
      </w:r>
      <w:r w:rsidR="008B719F">
        <w:rPr>
          <w:szCs w:val="24"/>
        </w:rPr>
        <w:t xml:space="preserve"> w zbyt małym stopniu dostrzegane są</w:t>
      </w:r>
      <w:r w:rsidRPr="006055E0">
        <w:rPr>
          <w:szCs w:val="24"/>
        </w:rPr>
        <w:t xml:space="preserve"> korzyści płynąc</w:t>
      </w:r>
      <w:r w:rsidR="008B719F">
        <w:rPr>
          <w:szCs w:val="24"/>
        </w:rPr>
        <w:t>e</w:t>
      </w:r>
      <w:r w:rsidRPr="006055E0">
        <w:rPr>
          <w:szCs w:val="24"/>
        </w:rPr>
        <w:t xml:space="preserve"> z umiędzynarodowienia, </w:t>
      </w:r>
      <w:r w:rsidR="008B719F">
        <w:rPr>
          <w:szCs w:val="24"/>
        </w:rPr>
        <w:t xml:space="preserve">a </w:t>
      </w:r>
      <w:r w:rsidRPr="006055E0">
        <w:rPr>
          <w:szCs w:val="24"/>
        </w:rPr>
        <w:t>cz</w:t>
      </w:r>
      <w:r w:rsidR="00550A60" w:rsidRPr="006055E0">
        <w:rPr>
          <w:szCs w:val="24"/>
        </w:rPr>
        <w:t xml:space="preserve">ęsto </w:t>
      </w:r>
      <w:r w:rsidRPr="006055E0">
        <w:rPr>
          <w:szCs w:val="24"/>
        </w:rPr>
        <w:t xml:space="preserve">wręcz </w:t>
      </w:r>
      <w:r w:rsidR="008B719F">
        <w:rPr>
          <w:szCs w:val="24"/>
        </w:rPr>
        <w:t xml:space="preserve">uwaga </w:t>
      </w:r>
      <w:r w:rsidRPr="006055E0">
        <w:rPr>
          <w:szCs w:val="24"/>
        </w:rPr>
        <w:t>skupia się na</w:t>
      </w:r>
      <w:r w:rsidR="00B62780" w:rsidRPr="006055E0">
        <w:rPr>
          <w:szCs w:val="24"/>
        </w:rPr>
        <w:t xml:space="preserve"> </w:t>
      </w:r>
      <w:r w:rsidR="00550A60" w:rsidRPr="006055E0">
        <w:rPr>
          <w:szCs w:val="24"/>
        </w:rPr>
        <w:t xml:space="preserve">jego </w:t>
      </w:r>
      <w:r w:rsidR="00B62780" w:rsidRPr="006055E0">
        <w:rPr>
          <w:szCs w:val="24"/>
        </w:rPr>
        <w:t xml:space="preserve">aspektach negatywnych. </w:t>
      </w:r>
      <w:r w:rsidR="008B719F">
        <w:rPr>
          <w:szCs w:val="24"/>
        </w:rPr>
        <w:t>N</w:t>
      </w:r>
      <w:r w:rsidR="00B62780" w:rsidRPr="006055E0">
        <w:rPr>
          <w:szCs w:val="24"/>
        </w:rPr>
        <w:t>ie przywiązuje się</w:t>
      </w:r>
      <w:r w:rsidR="00550A60" w:rsidRPr="006055E0">
        <w:rPr>
          <w:szCs w:val="24"/>
        </w:rPr>
        <w:t xml:space="preserve"> </w:t>
      </w:r>
      <w:r w:rsidR="008B719F">
        <w:rPr>
          <w:szCs w:val="24"/>
        </w:rPr>
        <w:t xml:space="preserve">zbyt dużej </w:t>
      </w:r>
      <w:r w:rsidR="00B62780" w:rsidRPr="006055E0">
        <w:rPr>
          <w:szCs w:val="24"/>
        </w:rPr>
        <w:t xml:space="preserve">wagi do </w:t>
      </w:r>
      <w:r w:rsidR="008B719F">
        <w:rPr>
          <w:szCs w:val="24"/>
        </w:rPr>
        <w:t>zmniejszania się</w:t>
      </w:r>
      <w:r w:rsidR="00B62780" w:rsidRPr="006055E0">
        <w:rPr>
          <w:szCs w:val="24"/>
        </w:rPr>
        <w:t xml:space="preserve"> populacji potencjalnych studentów polskich</w:t>
      </w:r>
      <w:r w:rsidR="008F06F5" w:rsidRPr="006055E0">
        <w:rPr>
          <w:szCs w:val="24"/>
        </w:rPr>
        <w:t xml:space="preserve">, </w:t>
      </w:r>
      <w:r w:rsidR="00FA52F8">
        <w:rPr>
          <w:szCs w:val="24"/>
        </w:rPr>
        <w:t xml:space="preserve">nazwanego </w:t>
      </w:r>
      <w:r w:rsidR="008F06F5" w:rsidRPr="006055E0">
        <w:rPr>
          <w:szCs w:val="24"/>
        </w:rPr>
        <w:t>w raporcie I</w:t>
      </w:r>
      <w:r w:rsidR="0092184F" w:rsidRPr="006055E0">
        <w:rPr>
          <w:szCs w:val="24"/>
        </w:rPr>
        <w:t xml:space="preserve">nstytutu Sokratesa „demograficznym </w:t>
      </w:r>
      <w:r w:rsidR="00825DE2">
        <w:rPr>
          <w:szCs w:val="24"/>
        </w:rPr>
        <w:t>t</w:t>
      </w:r>
      <w:r w:rsidR="0092184F" w:rsidRPr="006055E0">
        <w:rPr>
          <w:szCs w:val="24"/>
        </w:rPr>
        <w:t>sunami”</w:t>
      </w:r>
      <w:r w:rsidR="0092184F" w:rsidRPr="006055E0">
        <w:rPr>
          <w:rStyle w:val="Odwoanieprzypisudolnego"/>
          <w:szCs w:val="24"/>
        </w:rPr>
        <w:footnoteReference w:id="17"/>
      </w:r>
      <w:r w:rsidR="008F06F5" w:rsidRPr="006055E0">
        <w:rPr>
          <w:szCs w:val="24"/>
        </w:rPr>
        <w:t xml:space="preserve">: z każdym rokiem liczba 19-latków będzie w Polsce malała, aż </w:t>
      </w:r>
      <w:r w:rsidR="008B719F">
        <w:rPr>
          <w:szCs w:val="24"/>
        </w:rPr>
        <w:t xml:space="preserve">w 2020 </w:t>
      </w:r>
      <w:r w:rsidR="008F06F5" w:rsidRPr="006055E0">
        <w:rPr>
          <w:szCs w:val="24"/>
        </w:rPr>
        <w:t xml:space="preserve">roku osiągnie </w:t>
      </w:r>
      <w:r w:rsidR="008B719F">
        <w:rPr>
          <w:szCs w:val="24"/>
        </w:rPr>
        <w:t xml:space="preserve">liczebność </w:t>
      </w:r>
      <w:r w:rsidR="008F06F5" w:rsidRPr="006055E0">
        <w:rPr>
          <w:szCs w:val="24"/>
        </w:rPr>
        <w:t xml:space="preserve">361 473 tysięcy, czyli o 48 </w:t>
      </w:r>
      <w:r w:rsidR="008B719F">
        <w:rPr>
          <w:szCs w:val="24"/>
        </w:rPr>
        <w:t>proc.</w:t>
      </w:r>
      <w:r w:rsidR="008F06F5" w:rsidRPr="006055E0">
        <w:rPr>
          <w:szCs w:val="24"/>
        </w:rPr>
        <w:t xml:space="preserve"> mniej</w:t>
      </w:r>
      <w:r w:rsidR="008B719F">
        <w:rPr>
          <w:szCs w:val="24"/>
        </w:rPr>
        <w:t>szą</w:t>
      </w:r>
      <w:r w:rsidR="008F06F5" w:rsidRPr="006055E0">
        <w:rPr>
          <w:szCs w:val="24"/>
        </w:rPr>
        <w:t xml:space="preserve"> niż w szczytowym 2002 r. i o 32</w:t>
      </w:r>
      <w:r w:rsidR="008B719F">
        <w:rPr>
          <w:szCs w:val="24"/>
        </w:rPr>
        <w:t xml:space="preserve"> proc.</w:t>
      </w:r>
      <w:r w:rsidR="008F06F5" w:rsidRPr="006055E0">
        <w:rPr>
          <w:szCs w:val="24"/>
        </w:rPr>
        <w:t xml:space="preserve"> mniej</w:t>
      </w:r>
      <w:r w:rsidR="008B719F">
        <w:rPr>
          <w:szCs w:val="24"/>
        </w:rPr>
        <w:t>szą</w:t>
      </w:r>
      <w:r w:rsidR="008F06F5" w:rsidRPr="006055E0">
        <w:rPr>
          <w:szCs w:val="24"/>
        </w:rPr>
        <w:t xml:space="preserve"> niż w roku 2010.</w:t>
      </w:r>
      <w:r w:rsidR="00550A60" w:rsidRPr="006055E0">
        <w:rPr>
          <w:szCs w:val="24"/>
        </w:rPr>
        <w:t xml:space="preserve"> Uczelni</w:t>
      </w:r>
      <w:r w:rsidR="00FA52F8">
        <w:rPr>
          <w:szCs w:val="24"/>
        </w:rPr>
        <w:t>e</w:t>
      </w:r>
      <w:r w:rsidR="00550A60" w:rsidRPr="006055E0">
        <w:rPr>
          <w:szCs w:val="24"/>
        </w:rPr>
        <w:t xml:space="preserve"> zdają się nie zauważać możliwości wypełnienia tej luki właśnie studentami zagranicznymi, którzy nie przyjadą </w:t>
      </w:r>
      <w:r w:rsidR="008B719F">
        <w:rPr>
          <w:szCs w:val="24"/>
        </w:rPr>
        <w:t xml:space="preserve">jednak </w:t>
      </w:r>
      <w:r w:rsidR="00550A60" w:rsidRPr="006055E0">
        <w:rPr>
          <w:szCs w:val="24"/>
        </w:rPr>
        <w:t xml:space="preserve">do </w:t>
      </w:r>
      <w:r w:rsidR="008B719F">
        <w:rPr>
          <w:szCs w:val="24"/>
        </w:rPr>
        <w:t xml:space="preserve">Polski, </w:t>
      </w:r>
      <w:r w:rsidR="00550A60" w:rsidRPr="006055E0">
        <w:rPr>
          <w:szCs w:val="24"/>
        </w:rPr>
        <w:t>jeśli wcześniej nie zbuduje</w:t>
      </w:r>
      <w:r w:rsidR="008B719F">
        <w:rPr>
          <w:szCs w:val="24"/>
        </w:rPr>
        <w:t xml:space="preserve"> ona</w:t>
      </w:r>
      <w:r w:rsidR="00550A60" w:rsidRPr="006055E0">
        <w:rPr>
          <w:szCs w:val="24"/>
        </w:rPr>
        <w:t xml:space="preserve"> atrakcyjnej marki edukac</w:t>
      </w:r>
      <w:r w:rsidR="00FA52F8">
        <w:rPr>
          <w:szCs w:val="24"/>
        </w:rPr>
        <w:t>y</w:t>
      </w:r>
      <w:r w:rsidR="00550A60" w:rsidRPr="006055E0">
        <w:rPr>
          <w:szCs w:val="24"/>
        </w:rPr>
        <w:t>j</w:t>
      </w:r>
      <w:r w:rsidR="008B719F">
        <w:rPr>
          <w:szCs w:val="24"/>
        </w:rPr>
        <w:t>nej</w:t>
      </w:r>
      <w:r w:rsidR="00550A60" w:rsidRPr="006055E0">
        <w:rPr>
          <w:szCs w:val="24"/>
        </w:rPr>
        <w:t xml:space="preserve">, zarówno w </w:t>
      </w:r>
      <w:r w:rsidR="00731502">
        <w:rPr>
          <w:szCs w:val="24"/>
        </w:rPr>
        <w:t>skali</w:t>
      </w:r>
      <w:r w:rsidR="00550A60" w:rsidRPr="006055E0">
        <w:rPr>
          <w:szCs w:val="24"/>
        </w:rPr>
        <w:t xml:space="preserve"> całego kraju, jak i pojedynczych instytucji.</w:t>
      </w:r>
      <w:r w:rsidR="00E8002D" w:rsidRPr="006055E0">
        <w:rPr>
          <w:szCs w:val="24"/>
        </w:rPr>
        <w:t xml:space="preserve"> Co prawda większość uczelni</w:t>
      </w:r>
      <w:r w:rsidR="0063142E" w:rsidRPr="006055E0">
        <w:rPr>
          <w:szCs w:val="24"/>
        </w:rPr>
        <w:t xml:space="preserve"> polskich</w:t>
      </w:r>
      <w:r w:rsidR="00E8002D" w:rsidRPr="006055E0">
        <w:rPr>
          <w:szCs w:val="24"/>
        </w:rPr>
        <w:t xml:space="preserve"> </w:t>
      </w:r>
      <w:r w:rsidR="00731502">
        <w:rPr>
          <w:szCs w:val="24"/>
        </w:rPr>
        <w:t>umieszcza</w:t>
      </w:r>
      <w:r w:rsidR="00FA52F8" w:rsidRPr="006055E0">
        <w:rPr>
          <w:szCs w:val="24"/>
        </w:rPr>
        <w:t xml:space="preserve"> </w:t>
      </w:r>
      <w:r w:rsidR="00E8002D" w:rsidRPr="006055E0">
        <w:rPr>
          <w:szCs w:val="24"/>
        </w:rPr>
        <w:t>w swoich najnowszych strategiach, powstałych najczęściej w ciągu ostatnich dwóch lat, internacjonalizację jako jeden z celów strategicznych, jednak w tej materii jesteśmy ciągle</w:t>
      </w:r>
      <w:r w:rsidR="00791E1E" w:rsidRPr="006055E0">
        <w:rPr>
          <w:szCs w:val="24"/>
        </w:rPr>
        <w:t xml:space="preserve"> na początku drogi, biorąc pod uwagę fakt, że wiele uczelni światowych</w:t>
      </w:r>
      <w:r w:rsidR="00665452">
        <w:rPr>
          <w:szCs w:val="24"/>
        </w:rPr>
        <w:t xml:space="preserve"> </w:t>
      </w:r>
      <w:r w:rsidR="0063142E" w:rsidRPr="006055E0">
        <w:rPr>
          <w:szCs w:val="24"/>
        </w:rPr>
        <w:t>umiędzynarodowienie stawia w centrum strategii rozwoju, a więc znajduje ono odzwierciedlenie we wszystkich działaniach uczelni.</w:t>
      </w:r>
    </w:p>
    <w:p w:rsidR="004733FA" w:rsidRPr="00122A64" w:rsidRDefault="004157F6" w:rsidP="00122A64">
      <w:pPr>
        <w:pStyle w:val="Nagwek1"/>
        <w:rPr>
          <w:szCs w:val="29"/>
        </w:rPr>
      </w:pPr>
      <w:r w:rsidRPr="00122A64">
        <w:rPr>
          <w:szCs w:val="29"/>
        </w:rPr>
        <w:t>Uczelnia przyszłości w kontekście internacjonalizacji</w:t>
      </w:r>
    </w:p>
    <w:p w:rsidR="00122A64" w:rsidRDefault="007523DD" w:rsidP="00122A64">
      <w:pPr>
        <w:pStyle w:val="tekstpods"/>
      </w:pPr>
      <w:r w:rsidRPr="00122A64">
        <w:t xml:space="preserve">W przededniu dyskusji na temat właśnie opracowywanej przez </w:t>
      </w:r>
      <w:proofErr w:type="spellStart"/>
      <w:r w:rsidRPr="00122A64">
        <w:t>MNiSW</w:t>
      </w:r>
      <w:proofErr w:type="spellEnd"/>
      <w:r w:rsidRPr="00122A64">
        <w:t xml:space="preserve"> strategii internacjonalizacji</w:t>
      </w:r>
      <w:r w:rsidR="00133A45" w:rsidRPr="00122A64">
        <w:rPr>
          <w:vertAlign w:val="superscript"/>
        </w:rPr>
        <w:footnoteReference w:id="18"/>
      </w:r>
      <w:r w:rsidRPr="00122A64">
        <w:t xml:space="preserve"> t</w:t>
      </w:r>
      <w:r w:rsidR="009D567F" w:rsidRPr="00122A64">
        <w:t>rudno jednoznacznie przewidzieć, jaka będzie p</w:t>
      </w:r>
      <w:r w:rsidR="004157F6" w:rsidRPr="00122A64">
        <w:t xml:space="preserve">rzyszłość polskich uczelni w zakresie umiędzynarodowienia. </w:t>
      </w:r>
      <w:r w:rsidR="00133A45" w:rsidRPr="00122A64">
        <w:t>Ciągle m</w:t>
      </w:r>
      <w:r w:rsidR="004157F6" w:rsidRPr="00122A64">
        <w:t xml:space="preserve">ożliwy jest </w:t>
      </w:r>
      <w:r w:rsidR="00133A45" w:rsidRPr="00122A64">
        <w:t xml:space="preserve">czarny </w:t>
      </w:r>
      <w:r w:rsidR="004157F6" w:rsidRPr="00122A64">
        <w:t xml:space="preserve">scenariusz, w którym na poziomie rządowym nie zostaną podjęte żadne </w:t>
      </w:r>
      <w:r w:rsidR="00553CC2" w:rsidRPr="00122A64">
        <w:t xml:space="preserve">dalsze działania wzmacniające oddolne inicjatywy </w:t>
      </w:r>
      <w:r w:rsidR="002F3FCD" w:rsidRPr="00122A64">
        <w:t xml:space="preserve">uczelni </w:t>
      </w:r>
      <w:r w:rsidR="00553CC2" w:rsidRPr="00122A64">
        <w:t xml:space="preserve">zainteresowanych </w:t>
      </w:r>
      <w:r w:rsidR="002F3FCD" w:rsidRPr="00122A64">
        <w:t>internacjonalizacją</w:t>
      </w:r>
      <w:r w:rsidR="00FC4108" w:rsidRPr="00122A64">
        <w:t>, zwłaszcza poprzez poprawę wizerunku polskiego szkolnictwa wyższego na świecie</w:t>
      </w:r>
      <w:r w:rsidR="00553CC2" w:rsidRPr="00122A64">
        <w:t xml:space="preserve">. </w:t>
      </w:r>
      <w:r w:rsidR="001D633B" w:rsidRPr="00122A64">
        <w:t xml:space="preserve">Ciężar umiędzynarodowienia będzie wówczas spoczywał prawie w całości na barkach </w:t>
      </w:r>
      <w:r w:rsidR="003A3A6F" w:rsidRPr="00122A64">
        <w:t>samych uczelni</w:t>
      </w:r>
      <w:r w:rsidR="00553CC2" w:rsidRPr="00122A64">
        <w:t xml:space="preserve">, </w:t>
      </w:r>
      <w:r w:rsidR="001D633B" w:rsidRPr="00122A64">
        <w:t xml:space="preserve">które </w:t>
      </w:r>
      <w:r w:rsidR="00F34267" w:rsidRPr="00122A64">
        <w:t xml:space="preserve">– </w:t>
      </w:r>
      <w:r w:rsidR="00553CC2" w:rsidRPr="00122A64">
        <w:t xml:space="preserve">jeśli rzeczywiście </w:t>
      </w:r>
      <w:r w:rsidR="00FC4108" w:rsidRPr="00122A64">
        <w:t>chcą obrać kierunek międzynarodowy</w:t>
      </w:r>
      <w:r w:rsidR="00F34267" w:rsidRPr="00122A64">
        <w:t xml:space="preserve"> –</w:t>
      </w:r>
      <w:r w:rsidR="00FC4108" w:rsidRPr="00122A64">
        <w:t xml:space="preserve"> powinny </w:t>
      </w:r>
      <w:r w:rsidR="00553CC2" w:rsidRPr="00122A64">
        <w:t xml:space="preserve">w większym stopniu skoncentrować </w:t>
      </w:r>
      <w:r w:rsidR="002F3FCD" w:rsidRPr="00122A64">
        <w:t>się</w:t>
      </w:r>
      <w:r w:rsidR="00553CC2" w:rsidRPr="00122A64">
        <w:t xml:space="preserve"> na </w:t>
      </w:r>
      <w:r w:rsidR="002F3FCD" w:rsidRPr="00122A64">
        <w:t xml:space="preserve">działaniach na rzecz internacjonalizacji </w:t>
      </w:r>
      <w:r w:rsidR="003A3A6F" w:rsidRPr="00122A64">
        <w:t>i</w:t>
      </w:r>
      <w:r w:rsidR="00F34267" w:rsidRPr="00122A64">
        <w:t>,</w:t>
      </w:r>
      <w:r w:rsidR="003A3A6F" w:rsidRPr="00122A64">
        <w:t xml:space="preserve"> jak wiele uczelni światowych</w:t>
      </w:r>
      <w:r w:rsidR="00F34267" w:rsidRPr="00122A64">
        <w:t>,</w:t>
      </w:r>
      <w:r w:rsidR="003A3A6F" w:rsidRPr="00122A64">
        <w:t xml:space="preserve"> postawić je w centrum swoich </w:t>
      </w:r>
      <w:r w:rsidR="00E265CE" w:rsidRPr="00122A64">
        <w:t>strategii</w:t>
      </w:r>
      <w:r w:rsidR="003A3A6F" w:rsidRPr="00122A64">
        <w:t>.</w:t>
      </w:r>
      <w:r w:rsidR="00E265CE" w:rsidRPr="00122A64">
        <w:t xml:space="preserve"> Innymi słowy</w:t>
      </w:r>
      <w:r w:rsidR="00133A45" w:rsidRPr="00122A64">
        <w:t>,</w:t>
      </w:r>
      <w:r w:rsidR="00E265CE" w:rsidRPr="00122A64">
        <w:t xml:space="preserve"> internacjonalizacja </w:t>
      </w:r>
      <w:r w:rsidR="00133A45" w:rsidRPr="00122A64">
        <w:t xml:space="preserve">będzie musiała stać się </w:t>
      </w:r>
      <w:r w:rsidR="003A67C2" w:rsidRPr="00122A64">
        <w:t>zadaniem nadrzędnym</w:t>
      </w:r>
      <w:r w:rsidR="00133A45" w:rsidRPr="00122A64">
        <w:t xml:space="preserve"> i </w:t>
      </w:r>
      <w:r w:rsidR="003A67C2" w:rsidRPr="00122A64">
        <w:t>przekrojowym</w:t>
      </w:r>
      <w:r w:rsidR="003C5FAE" w:rsidRPr="00122A64">
        <w:t xml:space="preserve"> (obejmującym wszystkie sfery funkcjonowania danej uczelni)</w:t>
      </w:r>
      <w:r w:rsidR="003A67C2" w:rsidRPr="00122A64">
        <w:t xml:space="preserve">, znajdującym swoje odzwierciedlenie w serii nawet bardzo drobnych działań </w:t>
      </w:r>
      <w:r w:rsidR="003C5FAE" w:rsidRPr="00122A64">
        <w:t xml:space="preserve">pojedynczej </w:t>
      </w:r>
      <w:r w:rsidR="003A67C2" w:rsidRPr="00122A64">
        <w:t>instytucji szkolnictwa wyższego.</w:t>
      </w:r>
    </w:p>
    <w:p w:rsidR="00122A64" w:rsidRDefault="003C5FAE" w:rsidP="00122A64">
      <w:pPr>
        <w:pStyle w:val="tekstpods"/>
        <w:rPr>
          <w:szCs w:val="24"/>
        </w:rPr>
      </w:pPr>
      <w:r>
        <w:rPr>
          <w:szCs w:val="24"/>
        </w:rPr>
        <w:lastRenderedPageBreak/>
        <w:t>Możliwy jest też scenariusz optymistyczny, w którym zarówno strona rządowa</w:t>
      </w:r>
      <w:r w:rsidR="00F34267">
        <w:rPr>
          <w:szCs w:val="24"/>
        </w:rPr>
        <w:t>,</w:t>
      </w:r>
      <w:r>
        <w:rPr>
          <w:szCs w:val="24"/>
        </w:rPr>
        <w:t xml:space="preserve"> jak i władze samorządowe przy udziale samych zainteresowanych, czyli polskich uczelni z sektora publicznego i niepublicznego, postarają się o wypracowanie wspólnych działań pozwalających </w:t>
      </w:r>
      <w:r w:rsidR="00CB5FA8">
        <w:rPr>
          <w:szCs w:val="24"/>
        </w:rPr>
        <w:t xml:space="preserve">na wyjście z aktualnego impasu. Możliwe też, że </w:t>
      </w:r>
      <w:r w:rsidR="00210FE0" w:rsidRPr="006055E0">
        <w:rPr>
          <w:szCs w:val="24"/>
        </w:rPr>
        <w:t xml:space="preserve">powstanie </w:t>
      </w:r>
      <w:r w:rsidR="00CB5FA8">
        <w:rPr>
          <w:szCs w:val="24"/>
        </w:rPr>
        <w:t xml:space="preserve">wreszcie </w:t>
      </w:r>
      <w:r w:rsidR="00210FE0" w:rsidRPr="006055E0">
        <w:rPr>
          <w:szCs w:val="24"/>
        </w:rPr>
        <w:t>agenda rządowa wsparcia internacjonalizacji szkolnictwa wyższego, która</w:t>
      </w:r>
      <w:r w:rsidR="00F34267">
        <w:rPr>
          <w:szCs w:val="24"/>
        </w:rPr>
        <w:t xml:space="preserve"> nie tylko</w:t>
      </w:r>
      <w:r w:rsidR="005E2DC1">
        <w:rPr>
          <w:szCs w:val="24"/>
        </w:rPr>
        <w:t xml:space="preserve"> będzie</w:t>
      </w:r>
      <w:r w:rsidR="00F34267">
        <w:rPr>
          <w:szCs w:val="24"/>
        </w:rPr>
        <w:t xml:space="preserve"> </w:t>
      </w:r>
      <w:r w:rsidR="00210FE0" w:rsidRPr="006055E0">
        <w:rPr>
          <w:szCs w:val="24"/>
        </w:rPr>
        <w:t>budow</w:t>
      </w:r>
      <w:r w:rsidR="00F34267">
        <w:rPr>
          <w:szCs w:val="24"/>
        </w:rPr>
        <w:t>ała</w:t>
      </w:r>
      <w:r w:rsidR="00210FE0" w:rsidRPr="006055E0">
        <w:rPr>
          <w:szCs w:val="24"/>
        </w:rPr>
        <w:t xml:space="preserve"> i umacnia</w:t>
      </w:r>
      <w:r w:rsidR="00F34267">
        <w:rPr>
          <w:szCs w:val="24"/>
        </w:rPr>
        <w:t>ła</w:t>
      </w:r>
      <w:r w:rsidR="00210FE0" w:rsidRPr="006055E0">
        <w:rPr>
          <w:szCs w:val="24"/>
        </w:rPr>
        <w:t xml:space="preserve"> mark</w:t>
      </w:r>
      <w:r w:rsidR="00F34267">
        <w:rPr>
          <w:szCs w:val="24"/>
        </w:rPr>
        <w:t>ę</w:t>
      </w:r>
      <w:r w:rsidR="00210FE0" w:rsidRPr="006055E0">
        <w:rPr>
          <w:szCs w:val="24"/>
        </w:rPr>
        <w:t xml:space="preserve"> </w:t>
      </w:r>
      <w:r w:rsidR="00210FE0">
        <w:rPr>
          <w:szCs w:val="24"/>
        </w:rPr>
        <w:t>polskiej edukacji</w:t>
      </w:r>
      <w:r w:rsidR="00210FE0" w:rsidRPr="006055E0">
        <w:rPr>
          <w:szCs w:val="24"/>
        </w:rPr>
        <w:t xml:space="preserve"> w Europie i na świecie</w:t>
      </w:r>
      <w:r w:rsidR="005E2DC1">
        <w:rPr>
          <w:szCs w:val="24"/>
        </w:rPr>
        <w:t xml:space="preserve">, ale także </w:t>
      </w:r>
      <w:r w:rsidR="00210FE0" w:rsidRPr="006055E0">
        <w:rPr>
          <w:szCs w:val="24"/>
        </w:rPr>
        <w:t xml:space="preserve">stworzy ramy </w:t>
      </w:r>
      <w:r w:rsidR="00F20BAA">
        <w:rPr>
          <w:szCs w:val="24"/>
        </w:rPr>
        <w:t>wysokiej jakości</w:t>
      </w:r>
      <w:r w:rsidR="00210FE0">
        <w:rPr>
          <w:szCs w:val="24"/>
        </w:rPr>
        <w:t xml:space="preserve"> </w:t>
      </w:r>
      <w:r w:rsidR="00210FE0" w:rsidRPr="006055E0">
        <w:rPr>
          <w:szCs w:val="24"/>
        </w:rPr>
        <w:t>internacjonalizacji polskich uczelni</w:t>
      </w:r>
      <w:r w:rsidR="00F20BAA">
        <w:rPr>
          <w:szCs w:val="24"/>
        </w:rPr>
        <w:t xml:space="preserve">. Chodzi o proces, który </w:t>
      </w:r>
      <w:r w:rsidR="00210FE0" w:rsidRPr="006055E0">
        <w:rPr>
          <w:szCs w:val="24"/>
        </w:rPr>
        <w:t>pozwoli na wyeliminowanie nastawi</w:t>
      </w:r>
      <w:r w:rsidR="00210FE0">
        <w:rPr>
          <w:szCs w:val="24"/>
        </w:rPr>
        <w:t>enia</w:t>
      </w:r>
      <w:r w:rsidR="00210FE0" w:rsidRPr="006055E0">
        <w:rPr>
          <w:szCs w:val="24"/>
        </w:rPr>
        <w:t xml:space="preserve"> tylko na uzysk</w:t>
      </w:r>
      <w:r w:rsidR="005E2DC1">
        <w:rPr>
          <w:szCs w:val="24"/>
        </w:rPr>
        <w:t>iw</w:t>
      </w:r>
      <w:r w:rsidR="00210FE0" w:rsidRPr="006055E0">
        <w:rPr>
          <w:szCs w:val="24"/>
        </w:rPr>
        <w:t xml:space="preserve">anie </w:t>
      </w:r>
      <w:r w:rsidR="005E2DC1">
        <w:rPr>
          <w:szCs w:val="24"/>
        </w:rPr>
        <w:t xml:space="preserve">dużych </w:t>
      </w:r>
      <w:r w:rsidR="00210FE0" w:rsidRPr="006055E0">
        <w:rPr>
          <w:szCs w:val="24"/>
        </w:rPr>
        <w:t>korzyści finansowych</w:t>
      </w:r>
      <w:r w:rsidR="00F20BAA">
        <w:rPr>
          <w:szCs w:val="24"/>
        </w:rPr>
        <w:t>, a skupi się na działaniach projakościowych w tym obszarze</w:t>
      </w:r>
      <w:r w:rsidR="00CB5FA8">
        <w:rPr>
          <w:szCs w:val="24"/>
        </w:rPr>
        <w:t>.</w:t>
      </w:r>
      <w:r w:rsidR="00210FE0" w:rsidRPr="006055E0">
        <w:rPr>
          <w:szCs w:val="24"/>
        </w:rPr>
        <w:t xml:space="preserve"> </w:t>
      </w:r>
      <w:r w:rsidR="00210FE0">
        <w:rPr>
          <w:szCs w:val="24"/>
        </w:rPr>
        <w:t>Inicjatywa</w:t>
      </w:r>
      <w:r w:rsidR="00210FE0" w:rsidRPr="006055E0">
        <w:rPr>
          <w:szCs w:val="24"/>
        </w:rPr>
        <w:t xml:space="preserve"> </w:t>
      </w:r>
      <w:proofErr w:type="spellStart"/>
      <w:r w:rsidR="00210FE0" w:rsidRPr="006055E0">
        <w:rPr>
          <w:i/>
          <w:szCs w:val="24"/>
        </w:rPr>
        <w:t>Ready</w:t>
      </w:r>
      <w:proofErr w:type="spellEnd"/>
      <w:r w:rsidR="00210FE0" w:rsidRPr="006055E0">
        <w:rPr>
          <w:i/>
          <w:szCs w:val="24"/>
        </w:rPr>
        <w:t xml:space="preserve">, </w:t>
      </w:r>
      <w:proofErr w:type="spellStart"/>
      <w:r w:rsidR="00210FE0" w:rsidRPr="006055E0">
        <w:rPr>
          <w:i/>
          <w:szCs w:val="24"/>
        </w:rPr>
        <w:t>Study</w:t>
      </w:r>
      <w:proofErr w:type="spellEnd"/>
      <w:r w:rsidR="00210FE0" w:rsidRPr="006055E0">
        <w:rPr>
          <w:i/>
          <w:szCs w:val="24"/>
        </w:rPr>
        <w:t xml:space="preserve">, Go! Poland </w:t>
      </w:r>
      <w:r w:rsidR="00210FE0" w:rsidRPr="006055E0">
        <w:rPr>
          <w:szCs w:val="24"/>
        </w:rPr>
        <w:t>to krok we właściwym kierunku, jednak za nim powinny pójść następne,</w:t>
      </w:r>
      <w:r w:rsidR="005E2DC1">
        <w:rPr>
          <w:szCs w:val="24"/>
        </w:rPr>
        <w:t xml:space="preserve"> takie</w:t>
      </w:r>
      <w:r w:rsidR="00210FE0" w:rsidRPr="006055E0">
        <w:rPr>
          <w:szCs w:val="24"/>
        </w:rPr>
        <w:t xml:space="preserve"> jak </w:t>
      </w:r>
      <w:r w:rsidR="008E27E1">
        <w:rPr>
          <w:szCs w:val="24"/>
        </w:rPr>
        <w:t>np.</w:t>
      </w:r>
      <w:r w:rsidR="00210FE0" w:rsidRPr="006055E0">
        <w:rPr>
          <w:szCs w:val="24"/>
        </w:rPr>
        <w:t xml:space="preserve">: ujednolicenie w skali kraju procedur związanych z rekrutacją, dalsza liberalizacja prawodawstwa imigracyjnego </w:t>
      </w:r>
      <w:r w:rsidR="0050262F">
        <w:rPr>
          <w:szCs w:val="24"/>
        </w:rPr>
        <w:t>dotyczącego</w:t>
      </w:r>
      <w:r w:rsidR="00210FE0" w:rsidRPr="006055E0">
        <w:rPr>
          <w:szCs w:val="24"/>
        </w:rPr>
        <w:t xml:space="preserve"> studentów i naukowców z zagranicy, w tym </w:t>
      </w:r>
      <w:r w:rsidR="00210FE0">
        <w:rPr>
          <w:szCs w:val="24"/>
        </w:rPr>
        <w:t xml:space="preserve">przyznawanie </w:t>
      </w:r>
      <w:r w:rsidR="00210FE0" w:rsidRPr="006055E0">
        <w:rPr>
          <w:szCs w:val="24"/>
        </w:rPr>
        <w:t>wiz studencki</w:t>
      </w:r>
      <w:r w:rsidR="00210FE0">
        <w:rPr>
          <w:szCs w:val="24"/>
        </w:rPr>
        <w:t>ch</w:t>
      </w:r>
      <w:r w:rsidR="00210FE0" w:rsidRPr="006055E0">
        <w:rPr>
          <w:szCs w:val="24"/>
        </w:rPr>
        <w:t xml:space="preserve"> </w:t>
      </w:r>
      <w:r w:rsidR="0050262F">
        <w:rPr>
          <w:szCs w:val="24"/>
        </w:rPr>
        <w:t>na</w:t>
      </w:r>
      <w:r w:rsidR="00210FE0" w:rsidRPr="006055E0">
        <w:rPr>
          <w:szCs w:val="24"/>
        </w:rPr>
        <w:t xml:space="preserve"> preferencyjn</w:t>
      </w:r>
      <w:r w:rsidR="0050262F">
        <w:rPr>
          <w:szCs w:val="24"/>
        </w:rPr>
        <w:t>ych</w:t>
      </w:r>
      <w:r w:rsidR="00210FE0" w:rsidRPr="006055E0">
        <w:rPr>
          <w:szCs w:val="24"/>
        </w:rPr>
        <w:t xml:space="preserve"> </w:t>
      </w:r>
      <w:r w:rsidR="0050262F">
        <w:rPr>
          <w:szCs w:val="24"/>
        </w:rPr>
        <w:t>zasadach,</w:t>
      </w:r>
      <w:r w:rsidR="006B590A">
        <w:rPr>
          <w:szCs w:val="24"/>
        </w:rPr>
        <w:t xml:space="preserve"> </w:t>
      </w:r>
      <w:r w:rsidR="00210FE0" w:rsidRPr="006055E0">
        <w:rPr>
          <w:szCs w:val="24"/>
        </w:rPr>
        <w:t>czy ułatwienia w przypadku pierwszego zatrudnienia obcokrajowców</w:t>
      </w:r>
      <w:r w:rsidR="00210FE0">
        <w:rPr>
          <w:szCs w:val="24"/>
        </w:rPr>
        <w:t xml:space="preserve"> –</w:t>
      </w:r>
      <w:r w:rsidR="00210FE0" w:rsidRPr="006055E0">
        <w:rPr>
          <w:szCs w:val="24"/>
        </w:rPr>
        <w:t xml:space="preserve"> absolwentów uczelni w Polsce. W takich </w:t>
      </w:r>
      <w:r w:rsidR="00210FE0">
        <w:rPr>
          <w:szCs w:val="24"/>
        </w:rPr>
        <w:t xml:space="preserve">warunkach </w:t>
      </w:r>
      <w:r w:rsidR="00210FE0" w:rsidRPr="006055E0">
        <w:rPr>
          <w:szCs w:val="24"/>
        </w:rPr>
        <w:t>działania podejmowane oddolnie przez uczelnie mogą przynieść jeszcze większe korzyści.</w:t>
      </w:r>
      <w:r w:rsidR="00CB5FA8" w:rsidRPr="00CB5FA8">
        <w:rPr>
          <w:szCs w:val="24"/>
        </w:rPr>
        <w:t xml:space="preserve"> </w:t>
      </w:r>
      <w:r w:rsidR="00CB5FA8">
        <w:rPr>
          <w:szCs w:val="24"/>
        </w:rPr>
        <w:t xml:space="preserve">Potrzeba powołania takiej agendy jest tym większa, że brakuje w naszym kraju koordynacji prac na poszczególnych szczeblach i w różnych resortach. Ktoś musi czuwać nad opracowywaniem zmian legislacyjnych w tym zakresie, aby uniknąć </w:t>
      </w:r>
      <w:r w:rsidR="0050262F">
        <w:rPr>
          <w:szCs w:val="24"/>
        </w:rPr>
        <w:t xml:space="preserve">takich </w:t>
      </w:r>
      <w:r w:rsidR="00CB5FA8">
        <w:rPr>
          <w:szCs w:val="24"/>
        </w:rPr>
        <w:t>sytuacji</w:t>
      </w:r>
      <w:r w:rsidR="0050262F">
        <w:rPr>
          <w:szCs w:val="24"/>
        </w:rPr>
        <w:t>, jaka</w:t>
      </w:r>
      <w:r w:rsidR="00CB5FA8">
        <w:rPr>
          <w:szCs w:val="24"/>
        </w:rPr>
        <w:t xml:space="preserve"> </w:t>
      </w:r>
      <w:r w:rsidR="0050262F">
        <w:rPr>
          <w:szCs w:val="24"/>
        </w:rPr>
        <w:t xml:space="preserve">miała miejsce </w:t>
      </w:r>
      <w:r w:rsidR="00CB5FA8">
        <w:rPr>
          <w:szCs w:val="24"/>
        </w:rPr>
        <w:t>w 2014 roku, kiedy to „przypadkowo” opodatkowano stypendia Erasmusa dla pracowników</w:t>
      </w:r>
      <w:r w:rsidR="00CB5FA8">
        <w:rPr>
          <w:rStyle w:val="Odwoanieprzypisudolnego"/>
          <w:szCs w:val="24"/>
        </w:rPr>
        <w:footnoteReference w:id="19"/>
      </w:r>
      <w:r w:rsidR="008E27E1">
        <w:rPr>
          <w:szCs w:val="24"/>
        </w:rPr>
        <w:t>,</w:t>
      </w:r>
      <w:r w:rsidR="00CB5FA8">
        <w:rPr>
          <w:szCs w:val="24"/>
        </w:rPr>
        <w:t xml:space="preserve"> co ograniczy</w:t>
      </w:r>
      <w:r w:rsidR="002E19D8">
        <w:rPr>
          <w:szCs w:val="24"/>
        </w:rPr>
        <w:t>ło</w:t>
      </w:r>
      <w:r w:rsidR="00CB5FA8">
        <w:rPr>
          <w:szCs w:val="24"/>
        </w:rPr>
        <w:t xml:space="preserve"> liczbę </w:t>
      </w:r>
      <w:r w:rsidR="001668DE">
        <w:rPr>
          <w:szCs w:val="24"/>
        </w:rPr>
        <w:t>pracowników nauki</w:t>
      </w:r>
      <w:r w:rsidR="008E27E1">
        <w:rPr>
          <w:szCs w:val="24"/>
        </w:rPr>
        <w:t xml:space="preserve"> </w:t>
      </w:r>
      <w:r w:rsidR="00CB5FA8">
        <w:rPr>
          <w:szCs w:val="24"/>
        </w:rPr>
        <w:t xml:space="preserve">uczestniczących w wymianie </w:t>
      </w:r>
      <w:r w:rsidR="001668DE">
        <w:rPr>
          <w:szCs w:val="24"/>
        </w:rPr>
        <w:t xml:space="preserve">w </w:t>
      </w:r>
      <w:r w:rsidR="002E19D8">
        <w:rPr>
          <w:szCs w:val="24"/>
        </w:rPr>
        <w:t xml:space="preserve">danym roku </w:t>
      </w:r>
      <w:proofErr w:type="spellStart"/>
      <w:r w:rsidR="002E19D8">
        <w:rPr>
          <w:szCs w:val="24"/>
        </w:rPr>
        <w:t>roku</w:t>
      </w:r>
      <w:proofErr w:type="spellEnd"/>
      <w:r w:rsidR="00CB5FA8">
        <w:rPr>
          <w:szCs w:val="24"/>
        </w:rPr>
        <w:t>.</w:t>
      </w:r>
    </w:p>
    <w:p w:rsidR="005B1DB8" w:rsidRPr="00122A64" w:rsidRDefault="003A67C2" w:rsidP="002E012C">
      <w:pPr>
        <w:pStyle w:val="tekstpods"/>
        <w:rPr>
          <w:szCs w:val="24"/>
        </w:rPr>
      </w:pPr>
      <w:r w:rsidRPr="006055E0">
        <w:rPr>
          <w:szCs w:val="24"/>
        </w:rPr>
        <w:t xml:space="preserve">W celu rozwijania wymienionych w </w:t>
      </w:r>
      <w:r w:rsidR="002F3FCD">
        <w:rPr>
          <w:szCs w:val="24"/>
        </w:rPr>
        <w:t xml:space="preserve">niniejszym opracowaniu </w:t>
      </w:r>
      <w:r w:rsidRPr="006055E0">
        <w:rPr>
          <w:szCs w:val="24"/>
        </w:rPr>
        <w:t xml:space="preserve">form umiędzynarodowienia, takich jak: wspólne międzynarodowe projekty badawcze, wspólne programy studiów na wszystkich poziomach kształcenia, zatrudnianie </w:t>
      </w:r>
      <w:r w:rsidR="00F70B83">
        <w:rPr>
          <w:szCs w:val="24"/>
        </w:rPr>
        <w:t>naukowców</w:t>
      </w:r>
      <w:r w:rsidR="00E52B33" w:rsidRPr="006055E0">
        <w:rPr>
          <w:szCs w:val="24"/>
        </w:rPr>
        <w:t xml:space="preserve"> z zagranicy, </w:t>
      </w:r>
      <w:r w:rsidR="001D633B" w:rsidRPr="006055E0">
        <w:rPr>
          <w:szCs w:val="24"/>
        </w:rPr>
        <w:t>zwiększenie</w:t>
      </w:r>
      <w:r w:rsidRPr="006055E0">
        <w:rPr>
          <w:szCs w:val="24"/>
        </w:rPr>
        <w:t xml:space="preserve"> mobilności pracownik</w:t>
      </w:r>
      <w:r w:rsidR="00E52B33" w:rsidRPr="006055E0">
        <w:rPr>
          <w:szCs w:val="24"/>
        </w:rPr>
        <w:t>ów i studentów oraz zapewnianie</w:t>
      </w:r>
      <w:r w:rsidRPr="006055E0">
        <w:rPr>
          <w:szCs w:val="24"/>
        </w:rPr>
        <w:t xml:space="preserve"> integracji studentów międzynarodowych na uczelniach krajowych</w:t>
      </w:r>
      <w:r w:rsidR="001D633B" w:rsidRPr="006055E0">
        <w:rPr>
          <w:szCs w:val="24"/>
        </w:rPr>
        <w:t xml:space="preserve">, </w:t>
      </w:r>
      <w:r w:rsidR="007C3BAE" w:rsidRPr="006055E0">
        <w:rPr>
          <w:szCs w:val="24"/>
        </w:rPr>
        <w:t>a co za tym idzie</w:t>
      </w:r>
      <w:r w:rsidR="002F3FCD">
        <w:rPr>
          <w:szCs w:val="24"/>
        </w:rPr>
        <w:t xml:space="preserve"> – w celu</w:t>
      </w:r>
      <w:r w:rsidR="007C3BAE" w:rsidRPr="006055E0">
        <w:rPr>
          <w:szCs w:val="24"/>
        </w:rPr>
        <w:t xml:space="preserve"> tworzenia na uczelniach swoistej kultury międzynarodowej, </w:t>
      </w:r>
      <w:r w:rsidR="001D633B" w:rsidRPr="006055E0">
        <w:rPr>
          <w:szCs w:val="24"/>
        </w:rPr>
        <w:t>można podjąć szereg działań drobnych, często niezbyt kosztownych, choć wymagających wzmożonego wys</w:t>
      </w:r>
      <w:r w:rsidR="007C3BAE" w:rsidRPr="006055E0">
        <w:rPr>
          <w:szCs w:val="24"/>
        </w:rPr>
        <w:t>iłku organizacyjnego. W</w:t>
      </w:r>
      <w:r w:rsidR="001D633B" w:rsidRPr="006055E0">
        <w:rPr>
          <w:szCs w:val="24"/>
        </w:rPr>
        <w:t xml:space="preserve">śród </w:t>
      </w:r>
      <w:r w:rsidR="007C3BAE" w:rsidRPr="006055E0">
        <w:rPr>
          <w:szCs w:val="24"/>
        </w:rPr>
        <w:t>nich</w:t>
      </w:r>
      <w:r w:rsidR="001D633B" w:rsidRPr="006055E0">
        <w:rPr>
          <w:szCs w:val="24"/>
        </w:rPr>
        <w:t xml:space="preserve"> wymienić</w:t>
      </w:r>
      <w:r w:rsidR="002F3FCD">
        <w:rPr>
          <w:szCs w:val="24"/>
        </w:rPr>
        <w:t xml:space="preserve"> należy</w:t>
      </w:r>
      <w:r w:rsidR="001D633B" w:rsidRPr="006055E0">
        <w:rPr>
          <w:szCs w:val="24"/>
        </w:rPr>
        <w:t>:</w:t>
      </w:r>
      <w:r w:rsidR="002E012C">
        <w:rPr>
          <w:szCs w:val="24"/>
        </w:rPr>
        <w:t xml:space="preserve"> </w:t>
      </w:r>
      <w:r w:rsidR="002E012C">
        <w:t>w</w:t>
      </w:r>
      <w:r w:rsidR="001D633B" w:rsidRPr="00122A64">
        <w:t>łączanie</w:t>
      </w:r>
      <w:r w:rsidR="0090002D" w:rsidRPr="00122A64">
        <w:t xml:space="preserve"> w proces internacjonalizacji</w:t>
      </w:r>
      <w:r w:rsidR="001D633B" w:rsidRPr="00122A64">
        <w:t xml:space="preserve"> samorządów</w:t>
      </w:r>
      <w:r w:rsidR="0090002D" w:rsidRPr="00122A64">
        <w:t>, miast, a na poziomie uczelni</w:t>
      </w:r>
      <w:r w:rsidR="001D633B" w:rsidRPr="00122A64">
        <w:t xml:space="preserve"> organizacji studenckich. Nie na wszystkich uczelniach </w:t>
      </w:r>
      <w:r w:rsidR="002F3FCD" w:rsidRPr="00122A64">
        <w:t xml:space="preserve">działają </w:t>
      </w:r>
      <w:r w:rsidR="001D633B" w:rsidRPr="00122A64">
        <w:t>organizacje niejako wyspecjalizowane w tej aktywności, takie jak Erasmus Student Network</w:t>
      </w:r>
      <w:r w:rsidR="00762F70" w:rsidRPr="00122A64">
        <w:t xml:space="preserve"> (ESN)</w:t>
      </w:r>
      <w:r w:rsidR="0023434E" w:rsidRPr="00122A64">
        <w:t xml:space="preserve">, często trzeba </w:t>
      </w:r>
      <w:r w:rsidR="002F3FCD" w:rsidRPr="00122A64">
        <w:t xml:space="preserve">więc </w:t>
      </w:r>
      <w:r w:rsidR="0023434E" w:rsidRPr="00122A64">
        <w:t>znaleźć innych partnerów „studenckich”</w:t>
      </w:r>
      <w:r w:rsidR="00FD2836" w:rsidRPr="00122A64">
        <w:t xml:space="preserve"> do</w:t>
      </w:r>
      <w:r w:rsidR="002E012C">
        <w:t xml:space="preserve"> wspierania umiędzynarodowienia; </w:t>
      </w:r>
      <w:r w:rsidR="002E012C">
        <w:rPr>
          <w:szCs w:val="24"/>
        </w:rPr>
        <w:t>t</w:t>
      </w:r>
      <w:r w:rsidR="00762F70" w:rsidRPr="00122A64">
        <w:rPr>
          <w:szCs w:val="24"/>
        </w:rPr>
        <w:t xml:space="preserve">worzenie </w:t>
      </w:r>
      <w:r w:rsidR="00F70B83" w:rsidRPr="00122A64">
        <w:rPr>
          <w:szCs w:val="24"/>
        </w:rPr>
        <w:t xml:space="preserve">w ramach struktur uczelni </w:t>
      </w:r>
      <w:r w:rsidR="00762F70" w:rsidRPr="00122A64">
        <w:rPr>
          <w:szCs w:val="24"/>
        </w:rPr>
        <w:t xml:space="preserve">działów obsługi studentów zagranicznych, </w:t>
      </w:r>
      <w:r w:rsidR="00F70B83" w:rsidRPr="00122A64">
        <w:rPr>
          <w:szCs w:val="24"/>
        </w:rPr>
        <w:t>biur</w:t>
      </w:r>
      <w:r w:rsidR="00C65311" w:rsidRPr="00122A64">
        <w:rPr>
          <w:szCs w:val="24"/>
        </w:rPr>
        <w:t xml:space="preserve"> </w:t>
      </w:r>
      <w:r w:rsidR="00762F70" w:rsidRPr="00122A64">
        <w:rPr>
          <w:szCs w:val="24"/>
        </w:rPr>
        <w:t>wyspecjalizowanych zwłaszcza w obsłudze studentów spoza UE, a więc grup wymagających podjęcia wielu działań formalno-prawnych w celu u</w:t>
      </w:r>
      <w:r w:rsidR="001668DE">
        <w:rPr>
          <w:szCs w:val="24"/>
        </w:rPr>
        <w:t xml:space="preserve">regulowania ich </w:t>
      </w:r>
      <w:r w:rsidR="001668DE">
        <w:rPr>
          <w:szCs w:val="24"/>
        </w:rPr>
        <w:lastRenderedPageBreak/>
        <w:t>pobytu w Polsce, a także t</w:t>
      </w:r>
      <w:r w:rsidR="00C65311" w:rsidRPr="00122A64">
        <w:rPr>
          <w:szCs w:val="24"/>
        </w:rPr>
        <w:t xml:space="preserve">worzenie struktur wsparcia realizacji projektów międzynarodowych, czy </w:t>
      </w:r>
      <w:r w:rsidR="00C55904" w:rsidRPr="00122A64">
        <w:rPr>
          <w:szCs w:val="24"/>
        </w:rPr>
        <w:t>to w zakresie dydaktyki, czy też</w:t>
      </w:r>
      <w:r w:rsidR="002E012C">
        <w:rPr>
          <w:szCs w:val="24"/>
        </w:rPr>
        <w:t xml:space="preserve"> nauki; w</w:t>
      </w:r>
      <w:r w:rsidR="005B1DB8" w:rsidRPr="00122A64">
        <w:rPr>
          <w:szCs w:val="24"/>
        </w:rPr>
        <w:t>sparcie</w:t>
      </w:r>
      <w:r w:rsidR="001668DE">
        <w:rPr>
          <w:szCs w:val="24"/>
        </w:rPr>
        <w:t xml:space="preserve"> organizacyjne i finansowe</w:t>
      </w:r>
      <w:r w:rsidR="005B1DB8" w:rsidRPr="00122A64">
        <w:rPr>
          <w:szCs w:val="24"/>
        </w:rPr>
        <w:t xml:space="preserve"> procesów akredytacji międzynarodowej</w:t>
      </w:r>
      <w:r w:rsidR="00642240" w:rsidRPr="00122A64">
        <w:rPr>
          <w:szCs w:val="24"/>
        </w:rPr>
        <w:t xml:space="preserve"> </w:t>
      </w:r>
      <w:r w:rsidR="005B1DB8" w:rsidRPr="00122A64">
        <w:rPr>
          <w:szCs w:val="24"/>
        </w:rPr>
        <w:t xml:space="preserve">dla poszczególnych programów, wydziałów czy całej instytucji oraz dbałość o </w:t>
      </w:r>
      <w:r w:rsidR="002F3FCD" w:rsidRPr="00122A64">
        <w:rPr>
          <w:szCs w:val="24"/>
        </w:rPr>
        <w:t xml:space="preserve">przekazywanie </w:t>
      </w:r>
      <w:r w:rsidR="005B1DB8" w:rsidRPr="00122A64">
        <w:rPr>
          <w:szCs w:val="24"/>
        </w:rPr>
        <w:t>rzeteln</w:t>
      </w:r>
      <w:r w:rsidR="002F3FCD" w:rsidRPr="00122A64">
        <w:rPr>
          <w:szCs w:val="24"/>
        </w:rPr>
        <w:t>ych</w:t>
      </w:r>
      <w:r w:rsidR="005B1DB8" w:rsidRPr="00122A64">
        <w:rPr>
          <w:szCs w:val="24"/>
        </w:rPr>
        <w:t xml:space="preserve"> informacji instytucj</w:t>
      </w:r>
      <w:r w:rsidR="00B71272" w:rsidRPr="00122A64">
        <w:rPr>
          <w:szCs w:val="24"/>
        </w:rPr>
        <w:t>om</w:t>
      </w:r>
      <w:r w:rsidR="005B1DB8" w:rsidRPr="00122A64">
        <w:rPr>
          <w:szCs w:val="24"/>
        </w:rPr>
        <w:t xml:space="preserve"> </w:t>
      </w:r>
      <w:r w:rsidR="00B71272" w:rsidRPr="00122A64">
        <w:rPr>
          <w:szCs w:val="24"/>
        </w:rPr>
        <w:t xml:space="preserve">realizującym </w:t>
      </w:r>
      <w:r w:rsidR="002E012C">
        <w:rPr>
          <w:szCs w:val="24"/>
        </w:rPr>
        <w:t>rankingi międzynarodowe; d</w:t>
      </w:r>
      <w:r w:rsidR="0023434E" w:rsidRPr="00122A64">
        <w:rPr>
          <w:szCs w:val="24"/>
        </w:rPr>
        <w:t>bałość o komunikację</w:t>
      </w:r>
      <w:r w:rsidR="002F3FCD" w:rsidRPr="00122A64">
        <w:rPr>
          <w:szCs w:val="24"/>
        </w:rPr>
        <w:t xml:space="preserve"> –</w:t>
      </w:r>
      <w:r w:rsidR="0023434E" w:rsidRPr="00122A64">
        <w:rPr>
          <w:szCs w:val="24"/>
        </w:rPr>
        <w:t xml:space="preserve"> zarówno jej form</w:t>
      </w:r>
      <w:r w:rsidR="002F3FCD" w:rsidRPr="00122A64">
        <w:rPr>
          <w:szCs w:val="24"/>
        </w:rPr>
        <w:t>ę</w:t>
      </w:r>
      <w:r w:rsidR="0023434E" w:rsidRPr="00122A64">
        <w:rPr>
          <w:szCs w:val="24"/>
        </w:rPr>
        <w:t>, język</w:t>
      </w:r>
      <w:r w:rsidR="002F3FCD" w:rsidRPr="00122A64">
        <w:rPr>
          <w:szCs w:val="24"/>
        </w:rPr>
        <w:t>, jak i treść</w:t>
      </w:r>
      <w:r w:rsidR="0023434E" w:rsidRPr="00122A64">
        <w:rPr>
          <w:szCs w:val="24"/>
        </w:rPr>
        <w:t xml:space="preserve">, szczególnie </w:t>
      </w:r>
      <w:r w:rsidR="002F3FCD" w:rsidRPr="00122A64">
        <w:rPr>
          <w:szCs w:val="24"/>
        </w:rPr>
        <w:t xml:space="preserve">dotyczącą </w:t>
      </w:r>
      <w:r w:rsidR="0023434E" w:rsidRPr="00122A64">
        <w:rPr>
          <w:szCs w:val="24"/>
        </w:rPr>
        <w:t>rekrutacji studentów z zagranicy</w:t>
      </w:r>
      <w:r w:rsidR="00B677F5">
        <w:rPr>
          <w:szCs w:val="24"/>
        </w:rPr>
        <w:t xml:space="preserve"> oraz uznawania ich dotychczasowego wykształcenia</w:t>
      </w:r>
      <w:r w:rsidR="00B677F5" w:rsidRPr="00B677F5">
        <w:rPr>
          <w:szCs w:val="24"/>
        </w:rPr>
        <w:t xml:space="preserve"> </w:t>
      </w:r>
      <w:r w:rsidR="00B677F5">
        <w:rPr>
          <w:szCs w:val="24"/>
        </w:rPr>
        <w:t>(</w:t>
      </w:r>
      <w:r w:rsidR="00B677F5" w:rsidRPr="00122A64">
        <w:rPr>
          <w:szCs w:val="24"/>
        </w:rPr>
        <w:t>odniesienia się w większym stopniu do ram kwalifikacji niż do konkretnych przedmiotów</w:t>
      </w:r>
      <w:r w:rsidR="00B677F5">
        <w:rPr>
          <w:szCs w:val="24"/>
        </w:rPr>
        <w:t>)</w:t>
      </w:r>
      <w:r w:rsidR="0023434E" w:rsidRPr="00122A64">
        <w:rPr>
          <w:szCs w:val="24"/>
        </w:rPr>
        <w:t>.</w:t>
      </w:r>
      <w:r w:rsidR="001668DE">
        <w:rPr>
          <w:szCs w:val="24"/>
        </w:rPr>
        <w:t xml:space="preserve"> Powinna ona być w miarę możliwości zcentralizowana i dzięki temu wspólna dla całej uczelni</w:t>
      </w:r>
      <w:r w:rsidR="002E012C">
        <w:rPr>
          <w:szCs w:val="24"/>
        </w:rPr>
        <w:t>; u</w:t>
      </w:r>
      <w:r w:rsidR="007E186B" w:rsidRPr="00122A64">
        <w:rPr>
          <w:szCs w:val="24"/>
        </w:rPr>
        <w:t>względnianie mobilności praco</w:t>
      </w:r>
      <w:r w:rsidR="007C7560" w:rsidRPr="00122A64">
        <w:rPr>
          <w:szCs w:val="24"/>
        </w:rPr>
        <w:t>wników</w:t>
      </w:r>
      <w:r w:rsidR="005B1DB8" w:rsidRPr="00122A64">
        <w:rPr>
          <w:szCs w:val="24"/>
        </w:rPr>
        <w:t xml:space="preserve"> oraz udziału w projektach międzynarodowych</w:t>
      </w:r>
      <w:r w:rsidR="007C7560" w:rsidRPr="00122A64">
        <w:rPr>
          <w:szCs w:val="24"/>
        </w:rPr>
        <w:t xml:space="preserve"> w systemach rekrutacji, oceny i </w:t>
      </w:r>
      <w:r w:rsidR="007E186B" w:rsidRPr="00122A64">
        <w:rPr>
          <w:szCs w:val="24"/>
        </w:rPr>
        <w:t>promocji akademickiej.</w:t>
      </w:r>
      <w:r w:rsidR="00210FE0" w:rsidRPr="00122A64">
        <w:rPr>
          <w:szCs w:val="24"/>
        </w:rPr>
        <w:t xml:space="preserve"> </w:t>
      </w:r>
      <w:r w:rsidR="00E63A76" w:rsidRPr="00122A64">
        <w:rPr>
          <w:szCs w:val="24"/>
        </w:rPr>
        <w:t>P</w:t>
      </w:r>
      <w:r w:rsidR="00210FE0" w:rsidRPr="00122A64">
        <w:rPr>
          <w:szCs w:val="24"/>
        </w:rPr>
        <w:t xml:space="preserve">odejście </w:t>
      </w:r>
      <w:r w:rsidR="00E63A76" w:rsidRPr="00122A64">
        <w:rPr>
          <w:szCs w:val="24"/>
        </w:rPr>
        <w:t xml:space="preserve">to </w:t>
      </w:r>
      <w:r w:rsidR="00210FE0" w:rsidRPr="00122A64">
        <w:rPr>
          <w:szCs w:val="24"/>
        </w:rPr>
        <w:t xml:space="preserve">znalazło </w:t>
      </w:r>
      <w:r w:rsidR="007C7560" w:rsidRPr="00122A64">
        <w:rPr>
          <w:szCs w:val="24"/>
        </w:rPr>
        <w:t xml:space="preserve">już swoje odzwierciedlenie w wytycznych </w:t>
      </w:r>
      <w:r w:rsidR="00E63A76" w:rsidRPr="00122A64">
        <w:rPr>
          <w:szCs w:val="24"/>
        </w:rPr>
        <w:t xml:space="preserve">w zakresie </w:t>
      </w:r>
      <w:r w:rsidR="007C7560" w:rsidRPr="00122A64">
        <w:rPr>
          <w:szCs w:val="24"/>
        </w:rPr>
        <w:t>zdobywania kolejnych stopni naukowych</w:t>
      </w:r>
      <w:r w:rsidR="00E63A76" w:rsidRPr="00122A64">
        <w:rPr>
          <w:szCs w:val="24"/>
        </w:rPr>
        <w:t xml:space="preserve"> i trzeba mieć nadzieję</w:t>
      </w:r>
      <w:r w:rsidR="007C7560" w:rsidRPr="00122A64">
        <w:rPr>
          <w:szCs w:val="24"/>
        </w:rPr>
        <w:t xml:space="preserve">, że z czasem </w:t>
      </w:r>
      <w:r w:rsidR="00210FE0" w:rsidRPr="00122A64">
        <w:rPr>
          <w:szCs w:val="24"/>
        </w:rPr>
        <w:t>stanie</w:t>
      </w:r>
      <w:r w:rsidR="007C7560" w:rsidRPr="00122A64">
        <w:rPr>
          <w:szCs w:val="24"/>
        </w:rPr>
        <w:t xml:space="preserve"> </w:t>
      </w:r>
      <w:r w:rsidR="00B71272" w:rsidRPr="00122A64">
        <w:rPr>
          <w:szCs w:val="24"/>
        </w:rPr>
        <w:t xml:space="preserve">się </w:t>
      </w:r>
      <w:r w:rsidR="007C7560" w:rsidRPr="00122A64">
        <w:rPr>
          <w:szCs w:val="24"/>
        </w:rPr>
        <w:t>rzeczywistym</w:t>
      </w:r>
      <w:r w:rsidR="00E63A76" w:rsidRPr="00122A64">
        <w:rPr>
          <w:szCs w:val="24"/>
        </w:rPr>
        <w:t>, a nie iluzorycznym</w:t>
      </w:r>
      <w:r w:rsidR="007C7560" w:rsidRPr="00122A64">
        <w:rPr>
          <w:szCs w:val="24"/>
        </w:rPr>
        <w:t xml:space="preserve"> </w:t>
      </w:r>
      <w:r w:rsidR="00210FE0" w:rsidRPr="00122A64">
        <w:rPr>
          <w:szCs w:val="24"/>
        </w:rPr>
        <w:t xml:space="preserve">kryterium </w:t>
      </w:r>
      <w:r w:rsidR="002E012C">
        <w:rPr>
          <w:szCs w:val="24"/>
        </w:rPr>
        <w:t>oceny, t</w:t>
      </w:r>
      <w:r w:rsidR="005B1DB8" w:rsidRPr="00122A64">
        <w:rPr>
          <w:szCs w:val="24"/>
        </w:rPr>
        <w:t>worzenie systemów motywacyjnych, również płacowych</w:t>
      </w:r>
      <w:r w:rsidR="00E63A76" w:rsidRPr="00122A64">
        <w:rPr>
          <w:szCs w:val="24"/>
        </w:rPr>
        <w:t>,</w:t>
      </w:r>
      <w:r w:rsidR="005B1DB8" w:rsidRPr="00122A64">
        <w:rPr>
          <w:szCs w:val="24"/>
        </w:rPr>
        <w:t xml:space="preserve"> </w:t>
      </w:r>
      <w:r w:rsidR="00E63A76" w:rsidRPr="00122A64">
        <w:rPr>
          <w:szCs w:val="24"/>
        </w:rPr>
        <w:t xml:space="preserve">zachęcających </w:t>
      </w:r>
      <w:r w:rsidR="005B1DB8" w:rsidRPr="00122A64">
        <w:rPr>
          <w:szCs w:val="24"/>
        </w:rPr>
        <w:t>do prowadzenia zajęć w językach obcych</w:t>
      </w:r>
      <w:r w:rsidR="001668DE">
        <w:rPr>
          <w:szCs w:val="24"/>
        </w:rPr>
        <w:t xml:space="preserve"> </w:t>
      </w:r>
      <w:r w:rsidR="001668DE" w:rsidRPr="00122A64">
        <w:rPr>
          <w:szCs w:val="24"/>
        </w:rPr>
        <w:t>(</w:t>
      </w:r>
      <w:r w:rsidR="001668DE">
        <w:rPr>
          <w:szCs w:val="24"/>
        </w:rPr>
        <w:t>odejście od</w:t>
      </w:r>
      <w:r w:rsidR="001668DE" w:rsidRPr="00122A64">
        <w:rPr>
          <w:szCs w:val="24"/>
        </w:rPr>
        <w:t xml:space="preserve"> rozliczani</w:t>
      </w:r>
      <w:r w:rsidR="001668DE">
        <w:rPr>
          <w:szCs w:val="24"/>
        </w:rPr>
        <w:t>a</w:t>
      </w:r>
      <w:r w:rsidR="001668DE" w:rsidRPr="00122A64">
        <w:rPr>
          <w:szCs w:val="24"/>
        </w:rPr>
        <w:t xml:space="preserve"> ich w stosunku 1:1)</w:t>
      </w:r>
      <w:r w:rsidR="007C3BAE" w:rsidRPr="00122A64">
        <w:rPr>
          <w:szCs w:val="24"/>
        </w:rPr>
        <w:t xml:space="preserve"> w ramach rozwijanych programów kształcenia dla studentów polskich i zagranicznych.</w:t>
      </w:r>
    </w:p>
    <w:p w:rsidR="00B7157A" w:rsidRPr="00122A64" w:rsidRDefault="006B590A" w:rsidP="00122A64">
      <w:pPr>
        <w:pStyle w:val="tekstpods"/>
      </w:pPr>
      <w:r w:rsidRPr="00122A64">
        <w:t xml:space="preserve">Wdrożenie tych i innych zmian mających na celu rozwinięcie umiędzynarodowienia polskiego szkolnictwa wyższego wymaga </w:t>
      </w:r>
      <w:r w:rsidR="002313D2" w:rsidRPr="00122A64">
        <w:t xml:space="preserve">również </w:t>
      </w:r>
      <w:r w:rsidR="00E63A76" w:rsidRPr="00122A64">
        <w:t xml:space="preserve">przeznaczenia </w:t>
      </w:r>
      <w:r w:rsidR="002313D2" w:rsidRPr="00122A64">
        <w:t>na ten cel odpowiednich środków budżetowych. Udokumentowane wysiłki uczelni w tym zakresie powinny być w coraz większym stopniu uwzględniane w przyznawanej dotacji budżetowej. Bez jasnych reguł w tym zakresie brakować może uczelniom motywacji nawet do podejmowania drobnych zmian organizacyjnych.</w:t>
      </w:r>
    </w:p>
    <w:p w:rsidR="004733FA" w:rsidRPr="00122A64" w:rsidRDefault="00BB76D6" w:rsidP="00122A64">
      <w:pPr>
        <w:pStyle w:val="Nagwek1"/>
        <w:rPr>
          <w:szCs w:val="29"/>
        </w:rPr>
      </w:pPr>
      <w:r w:rsidRPr="00122A64">
        <w:rPr>
          <w:szCs w:val="29"/>
        </w:rPr>
        <w:t>Podsumowanie</w:t>
      </w:r>
    </w:p>
    <w:p w:rsidR="0010260A" w:rsidRPr="004822DE" w:rsidRDefault="00CB43F6" w:rsidP="004822DE">
      <w:pPr>
        <w:pStyle w:val="tekstpods"/>
      </w:pPr>
      <w:r w:rsidRPr="00122A64">
        <w:t>Proces internacjonalizacji szkolnictwa wyższego w Polsce pozostawia jeszcze wiele do życzenia, co potwierdzają statystyki międzynarodowe oraz nieobecność uczelni polskich w ważnych międzynarodowych rankingach. Niewątpliwie, jak wskazano w niniejszym opracowaniu, jest w tym obszarze jeszcze wiele do zrobienia. P</w:t>
      </w:r>
      <w:r w:rsidR="002B32CC" w:rsidRPr="00122A64">
        <w:t xml:space="preserve">omimo </w:t>
      </w:r>
      <w:r w:rsidR="003F1549" w:rsidRPr="00122A64">
        <w:t xml:space="preserve">iż w </w:t>
      </w:r>
      <w:r w:rsidR="002B32CC" w:rsidRPr="00122A64">
        <w:t xml:space="preserve">dobie globalizacji </w:t>
      </w:r>
      <w:r w:rsidR="00B1520C" w:rsidRPr="00122A64">
        <w:t xml:space="preserve">pewne </w:t>
      </w:r>
      <w:r w:rsidR="002B32CC" w:rsidRPr="00122A64">
        <w:t>procesy umiędzynarodowienia we wszystkich dziedzinach gospodarki</w:t>
      </w:r>
      <w:r w:rsidR="00B1520C" w:rsidRPr="00122A64">
        <w:t xml:space="preserve">, w tym w szkolnictwie wyższym, przebiegają w sposób naturalny, nie można liczyć na spektakularne sukcesy w tej materii bez zaangażowania i wsparcia </w:t>
      </w:r>
      <w:r w:rsidR="003F1549" w:rsidRPr="00122A64">
        <w:t>pochodzącego z</w:t>
      </w:r>
      <w:r w:rsidR="00B1520C" w:rsidRPr="00122A64">
        <w:t xml:space="preserve"> wszelkich możliwych poziomów: organizacji międzynarodowych, rządowych czy samorządowych. Tylko w takich </w:t>
      </w:r>
      <w:r w:rsidR="003F1549" w:rsidRPr="00122A64">
        <w:t xml:space="preserve">warunkach </w:t>
      </w:r>
      <w:r w:rsidR="00B1520C" w:rsidRPr="00122A64">
        <w:t>działania oddolne uczelni mają szanse powodzenia.</w:t>
      </w:r>
      <w:r w:rsidR="007B11C9" w:rsidRPr="00122A64">
        <w:t xml:space="preserve"> Pozostaje więc nadzieja, że opracowywana aktualnie przez </w:t>
      </w:r>
      <w:proofErr w:type="spellStart"/>
      <w:r w:rsidR="007B11C9" w:rsidRPr="00122A64">
        <w:t>MNiSW</w:t>
      </w:r>
      <w:proofErr w:type="spellEnd"/>
      <w:r w:rsidR="007B11C9" w:rsidRPr="00122A64">
        <w:t xml:space="preserve"> strategia internacjonalizacji stworzy ramy motywujące do podejmowania wysiłków </w:t>
      </w:r>
      <w:proofErr w:type="spellStart"/>
      <w:r w:rsidR="007B11C9" w:rsidRPr="00122A64">
        <w:t>internacjonaliz</w:t>
      </w:r>
      <w:bookmarkStart w:id="0" w:name="_GoBack"/>
      <w:bookmarkEnd w:id="0"/>
      <w:r w:rsidR="007B11C9" w:rsidRPr="00122A64">
        <w:t>acyjnych</w:t>
      </w:r>
      <w:proofErr w:type="spellEnd"/>
      <w:r w:rsidR="007B11C9" w:rsidRPr="00122A64">
        <w:t xml:space="preserve"> w przyszłości i przyczyni się do osiągnięcia </w:t>
      </w:r>
      <w:r w:rsidR="0002500F" w:rsidRPr="00122A64">
        <w:t xml:space="preserve">– </w:t>
      </w:r>
      <w:r w:rsidR="007B11C9" w:rsidRPr="00122A64">
        <w:t xml:space="preserve">realistycznej według </w:t>
      </w:r>
      <w:r w:rsidR="0002500F" w:rsidRPr="00122A64">
        <w:t>„</w:t>
      </w:r>
      <w:r w:rsidR="007B11C9" w:rsidRPr="00122A64">
        <w:t>Perspektyw</w:t>
      </w:r>
      <w:r w:rsidR="0002500F" w:rsidRPr="00122A64">
        <w:t>”</w:t>
      </w:r>
      <w:r w:rsidR="007B11C9" w:rsidRPr="00122A64">
        <w:t xml:space="preserve"> </w:t>
      </w:r>
      <w:r w:rsidR="0002500F" w:rsidRPr="00122A64">
        <w:t xml:space="preserve">– </w:t>
      </w:r>
      <w:r w:rsidR="007B11C9" w:rsidRPr="00122A64">
        <w:t xml:space="preserve">liczby studentów zagranicznych w Polsce do 2020 r. </w:t>
      </w:r>
      <w:r w:rsidR="008711F0" w:rsidRPr="00122A64">
        <w:t xml:space="preserve">kształtującej się </w:t>
      </w:r>
      <w:r w:rsidR="007B11C9" w:rsidRPr="00122A64">
        <w:t>na poziomie 100 tysięcy</w:t>
      </w:r>
      <w:r w:rsidR="00122A64">
        <w:t xml:space="preserve"> (Perspektywy, 2014)</w:t>
      </w:r>
      <w:r w:rsidR="0002500F" w:rsidRPr="00122A64">
        <w:t>.</w:t>
      </w:r>
      <w:r w:rsidR="00900A44" w:rsidRPr="00122A64">
        <w:t xml:space="preserve"> Nikogo </w:t>
      </w:r>
      <w:r w:rsidR="00900A44" w:rsidRPr="00122A64">
        <w:lastRenderedPageBreak/>
        <w:t xml:space="preserve">bowiem nie trzeba już chyba przekonywać, że umiędzynarodowienie szkolnictwa wyższego to </w:t>
      </w:r>
      <w:r w:rsidR="001668DE">
        <w:t>jeden z warunków</w:t>
      </w:r>
      <w:r w:rsidR="00900A44" w:rsidRPr="00122A64">
        <w:t xml:space="preserve"> jego dalszego rozwoju. Poza wieloma korzyściami płynącymi z tego procesu, omawianymi w niniejszym opracowaniu, warto wspomnieć również o wartości wymiernej rynku studiów międzynarodowych na świecie </w:t>
      </w:r>
      <w:r w:rsidR="0002500F" w:rsidRPr="00122A64">
        <w:t>–</w:t>
      </w:r>
      <w:r w:rsidR="00900A44" w:rsidRPr="00122A64">
        <w:t xml:space="preserve"> aktualnie wyceniany jest on na około 100 miliardów dolarów rocznie. Polski udział w tym rynku szacowany jest na ok. 100 milionów euro rocznie</w:t>
      </w:r>
      <w:r w:rsidR="004822DE">
        <w:t xml:space="preserve"> (Perspektywy, 2014)</w:t>
      </w:r>
      <w:r w:rsidR="0002500F" w:rsidRPr="00122A64">
        <w:t>.</w:t>
      </w:r>
      <w:r w:rsidR="00900A44" w:rsidRPr="00122A64">
        <w:t xml:space="preserve"> Dodatkowo, pomimo że internacjonalizacja szkolnictwa wyższego nie może </w:t>
      </w:r>
      <w:r w:rsidRPr="00122A64">
        <w:t>być jedynym remedium na problemy demograficzne Europy</w:t>
      </w:r>
      <w:r w:rsidR="00900A44" w:rsidRPr="00122A64">
        <w:t xml:space="preserve"> czy Polski, m</w:t>
      </w:r>
      <w:r w:rsidRPr="00122A64">
        <w:t>oże ona jednak przyczynić się do zmniejszenia negatywnych skutków „demograficznego</w:t>
      </w:r>
      <w:r w:rsidR="0002500F" w:rsidRPr="00122A64">
        <w:t xml:space="preserve"> tsunami</w:t>
      </w:r>
      <w:r w:rsidRPr="00122A64">
        <w:t>”, które zagraża nam w kolejnych latach</w:t>
      </w:r>
      <w:r w:rsidR="004822DE">
        <w:t xml:space="preserve"> (Instytut Sokrates, 2011)</w:t>
      </w:r>
      <w:r w:rsidRPr="00122A64">
        <w:t>.</w:t>
      </w:r>
    </w:p>
    <w:p w:rsidR="0010260A" w:rsidRPr="004822DE" w:rsidRDefault="0010260A" w:rsidP="004822DE">
      <w:pPr>
        <w:pStyle w:val="literattytul"/>
        <w:rPr>
          <w:lang w:val="de-DE"/>
        </w:rPr>
      </w:pPr>
      <w:proofErr w:type="spellStart"/>
      <w:r w:rsidRPr="004822DE">
        <w:rPr>
          <w:lang w:val="de-DE"/>
        </w:rPr>
        <w:t>Bibliografia</w:t>
      </w:r>
      <w:proofErr w:type="spellEnd"/>
    </w:p>
    <w:p w:rsidR="004822DE" w:rsidRPr="004822DE" w:rsidRDefault="0010260A" w:rsidP="005571B2">
      <w:pPr>
        <w:pStyle w:val="literatwykaz"/>
        <w:numPr>
          <w:ilvl w:val="0"/>
          <w:numId w:val="22"/>
        </w:numPr>
        <w:rPr>
          <w:spacing w:val="0"/>
          <w:szCs w:val="24"/>
          <w:lang w:val="en-US"/>
        </w:rPr>
      </w:pPr>
      <w:r w:rsidRPr="004822DE">
        <w:rPr>
          <w:spacing w:val="0"/>
          <w:szCs w:val="24"/>
          <w:lang w:val="en-US"/>
        </w:rPr>
        <w:t xml:space="preserve">OECD (2014), Education at a Glance 2014: OECD Indicators, OECD Publishing, </w:t>
      </w:r>
      <w:hyperlink r:id="rId19" w:history="1">
        <w:r w:rsidRPr="004822DE">
          <w:rPr>
            <w:spacing w:val="0"/>
            <w:szCs w:val="24"/>
            <w:lang w:val="en-US"/>
          </w:rPr>
          <w:t>http://www.oecd.org/edu/Education-at-a-Glance-2014.pdf</w:t>
        </w:r>
      </w:hyperlink>
    </w:p>
    <w:p w:rsidR="004822DE" w:rsidRPr="004822DE" w:rsidRDefault="004822DE" w:rsidP="005571B2">
      <w:pPr>
        <w:pStyle w:val="literatwykaz"/>
        <w:numPr>
          <w:ilvl w:val="0"/>
          <w:numId w:val="22"/>
        </w:numPr>
        <w:rPr>
          <w:spacing w:val="0"/>
          <w:szCs w:val="24"/>
          <w:lang w:val="en-US"/>
        </w:rPr>
      </w:pPr>
      <w:r w:rsidRPr="004822DE">
        <w:rPr>
          <w:szCs w:val="24"/>
          <w:lang w:val="en-US"/>
        </w:rPr>
        <w:t>Knight J.:</w:t>
      </w:r>
      <w:r w:rsidR="0010260A" w:rsidRPr="004822DE">
        <w:rPr>
          <w:szCs w:val="24"/>
          <w:lang w:val="en-US"/>
        </w:rPr>
        <w:t xml:space="preserve"> Updating the Definition of Internationalization</w:t>
      </w:r>
      <w:r w:rsidRPr="004822DE">
        <w:rPr>
          <w:szCs w:val="24"/>
          <w:lang w:val="en-US"/>
        </w:rPr>
        <w:t>.</w:t>
      </w:r>
      <w:r w:rsidR="0010260A" w:rsidRPr="004822DE">
        <w:rPr>
          <w:szCs w:val="24"/>
          <w:lang w:val="en-US"/>
        </w:rPr>
        <w:t xml:space="preserve"> International High</w:t>
      </w:r>
      <w:r w:rsidR="00554756" w:rsidRPr="004822DE">
        <w:rPr>
          <w:szCs w:val="24"/>
          <w:lang w:val="en-US"/>
        </w:rPr>
        <w:t>er Education, 2003, vol. 33, s.</w:t>
      </w:r>
      <w:r w:rsidR="0010260A" w:rsidRPr="004822DE">
        <w:rPr>
          <w:szCs w:val="24"/>
          <w:lang w:val="en-US"/>
        </w:rPr>
        <w:t>2-3.</w:t>
      </w:r>
    </w:p>
    <w:p w:rsidR="004822DE" w:rsidRPr="004822DE" w:rsidRDefault="004822DE" w:rsidP="004822DE">
      <w:pPr>
        <w:pStyle w:val="literatwykaz"/>
        <w:numPr>
          <w:ilvl w:val="0"/>
          <w:numId w:val="22"/>
        </w:numPr>
        <w:rPr>
          <w:spacing w:val="0"/>
          <w:szCs w:val="24"/>
          <w:lang w:val="en-US"/>
        </w:rPr>
      </w:pPr>
      <w:r w:rsidRPr="004822DE">
        <w:rPr>
          <w:szCs w:val="24"/>
          <w:lang w:val="en-US"/>
        </w:rPr>
        <w:t>Knight J.:</w:t>
      </w:r>
      <w:r w:rsidR="0010260A" w:rsidRPr="004822DE">
        <w:rPr>
          <w:szCs w:val="24"/>
          <w:lang w:val="en-US"/>
        </w:rPr>
        <w:t xml:space="preserve"> Internationalization of Higher Education</w:t>
      </w:r>
      <w:r w:rsidRPr="004822DE">
        <w:rPr>
          <w:szCs w:val="24"/>
          <w:lang w:val="en-US"/>
        </w:rPr>
        <w:t>.</w:t>
      </w:r>
      <w:r w:rsidR="0010260A" w:rsidRPr="004822DE">
        <w:rPr>
          <w:szCs w:val="24"/>
          <w:lang w:val="en-US"/>
        </w:rPr>
        <w:t xml:space="preserve"> Quality of Internationalization of Higher Education, Paris 1999, s.13-28.</w:t>
      </w:r>
    </w:p>
    <w:p w:rsidR="004822DE" w:rsidRPr="004822DE" w:rsidRDefault="004822DE" w:rsidP="004822DE">
      <w:pPr>
        <w:pStyle w:val="literatwykaz"/>
        <w:numPr>
          <w:ilvl w:val="0"/>
          <w:numId w:val="22"/>
        </w:numPr>
        <w:rPr>
          <w:spacing w:val="0"/>
          <w:szCs w:val="24"/>
          <w:lang w:val="en-US"/>
        </w:rPr>
      </w:pPr>
      <w:proofErr w:type="spellStart"/>
      <w:r w:rsidRPr="004822DE">
        <w:rPr>
          <w:szCs w:val="24"/>
          <w:lang w:val="en-US"/>
        </w:rPr>
        <w:t>Rauhvargers</w:t>
      </w:r>
      <w:proofErr w:type="spellEnd"/>
      <w:r w:rsidRPr="004822DE">
        <w:rPr>
          <w:szCs w:val="24"/>
          <w:lang w:val="en-US"/>
        </w:rPr>
        <w:t>, A.: EUA Report on Rankings.</w:t>
      </w:r>
      <w:r w:rsidR="00CF799F" w:rsidRPr="004822DE">
        <w:rPr>
          <w:szCs w:val="24"/>
          <w:lang w:val="en-US"/>
        </w:rPr>
        <w:t xml:space="preserve"> Global University Rankings and their Impact</w:t>
      </w:r>
      <w:r w:rsidR="0010260A" w:rsidRPr="004822DE">
        <w:rPr>
          <w:szCs w:val="24"/>
          <w:lang w:val="en-US"/>
        </w:rPr>
        <w:t xml:space="preserve"> </w:t>
      </w:r>
      <w:r w:rsidR="00CF799F" w:rsidRPr="004822DE">
        <w:rPr>
          <w:szCs w:val="24"/>
          <w:lang w:val="en-US"/>
        </w:rPr>
        <w:t>Report II, 2013</w:t>
      </w:r>
      <w:r w:rsidR="0010260A" w:rsidRPr="004822DE">
        <w:rPr>
          <w:szCs w:val="24"/>
          <w:lang w:val="en-US"/>
        </w:rPr>
        <w:t>.</w:t>
      </w:r>
    </w:p>
    <w:p w:rsidR="004822DE" w:rsidRPr="004822DE" w:rsidRDefault="0010260A" w:rsidP="004822DE">
      <w:pPr>
        <w:pStyle w:val="literatwykaz"/>
        <w:numPr>
          <w:ilvl w:val="0"/>
          <w:numId w:val="22"/>
        </w:numPr>
        <w:rPr>
          <w:spacing w:val="0"/>
          <w:szCs w:val="24"/>
          <w:lang w:val="en-US"/>
        </w:rPr>
      </w:pPr>
      <w:proofErr w:type="spellStart"/>
      <w:r w:rsidRPr="004822DE">
        <w:rPr>
          <w:szCs w:val="24"/>
          <w:lang w:val="en-US"/>
        </w:rPr>
        <w:t>Altbach</w:t>
      </w:r>
      <w:proofErr w:type="spellEnd"/>
      <w:r w:rsidRPr="004822DE">
        <w:rPr>
          <w:szCs w:val="24"/>
          <w:lang w:val="en-US"/>
        </w:rPr>
        <w:t xml:space="preserve"> </w:t>
      </w:r>
      <w:r w:rsidR="004822DE" w:rsidRPr="004822DE">
        <w:rPr>
          <w:szCs w:val="24"/>
          <w:lang w:val="en-US"/>
        </w:rPr>
        <w:t xml:space="preserve">P.G., </w:t>
      </w:r>
      <w:proofErr w:type="spellStart"/>
      <w:r w:rsidR="004822DE" w:rsidRPr="004822DE">
        <w:rPr>
          <w:szCs w:val="24"/>
          <w:lang w:val="en-US"/>
        </w:rPr>
        <w:t>Reisberg</w:t>
      </w:r>
      <w:proofErr w:type="spellEnd"/>
      <w:r w:rsidR="004822DE" w:rsidRPr="004822DE">
        <w:rPr>
          <w:szCs w:val="24"/>
          <w:lang w:val="en-US"/>
        </w:rPr>
        <w:t xml:space="preserve"> L., </w:t>
      </w:r>
      <w:proofErr w:type="spellStart"/>
      <w:r w:rsidR="004822DE" w:rsidRPr="004822DE">
        <w:rPr>
          <w:szCs w:val="24"/>
          <w:lang w:val="en-US"/>
        </w:rPr>
        <w:t>Rumbley</w:t>
      </w:r>
      <w:proofErr w:type="spellEnd"/>
      <w:r w:rsidR="004822DE" w:rsidRPr="004822DE">
        <w:rPr>
          <w:szCs w:val="24"/>
          <w:lang w:val="en-US"/>
        </w:rPr>
        <w:t xml:space="preserve"> L.E.:</w:t>
      </w:r>
      <w:r w:rsidRPr="004822DE">
        <w:rPr>
          <w:szCs w:val="24"/>
          <w:lang w:val="en-US"/>
        </w:rPr>
        <w:t xml:space="preserve"> Trends in global higher Education: Tracking an academic revolution, Paris 2009.</w:t>
      </w:r>
    </w:p>
    <w:p w:rsidR="004822DE" w:rsidRPr="004822DE" w:rsidRDefault="004822DE" w:rsidP="004822DE">
      <w:pPr>
        <w:pStyle w:val="literatwykaz"/>
        <w:numPr>
          <w:ilvl w:val="0"/>
          <w:numId w:val="22"/>
        </w:numPr>
        <w:rPr>
          <w:spacing w:val="0"/>
          <w:szCs w:val="24"/>
        </w:rPr>
      </w:pPr>
      <w:r w:rsidRPr="004822DE">
        <w:rPr>
          <w:szCs w:val="24"/>
        </w:rPr>
        <w:t>Siwińska B.: Uniwersytet ponad granicami.</w:t>
      </w:r>
      <w:r w:rsidR="00610F54" w:rsidRPr="004822DE">
        <w:rPr>
          <w:szCs w:val="24"/>
        </w:rPr>
        <w:t xml:space="preserve"> Internacjonalizacja szkolnictwa wyższego w Polsce i w Niemczech, Dom Wydawniczy Elipsa, Warszawa 2014.</w:t>
      </w:r>
    </w:p>
    <w:p w:rsidR="004822DE" w:rsidRPr="004822DE" w:rsidRDefault="00610F54" w:rsidP="004822DE">
      <w:pPr>
        <w:pStyle w:val="literatwykaz"/>
        <w:numPr>
          <w:ilvl w:val="0"/>
          <w:numId w:val="22"/>
        </w:numPr>
        <w:rPr>
          <w:spacing w:val="0"/>
          <w:szCs w:val="24"/>
        </w:rPr>
      </w:pPr>
      <w:r w:rsidRPr="004822DE">
        <w:rPr>
          <w:szCs w:val="24"/>
        </w:rPr>
        <w:t>Instytut Sokrates, Demograficzne Tsunami, Raport na temat wpływu zmian demograficznych na szkolnictwo wyższe do 2020 r., Warszawa 2011, s. 7.</w:t>
      </w:r>
    </w:p>
    <w:p w:rsidR="004822DE" w:rsidRPr="004822DE" w:rsidRDefault="004822DE" w:rsidP="004822DE">
      <w:pPr>
        <w:pStyle w:val="literatwykaz"/>
        <w:numPr>
          <w:ilvl w:val="0"/>
          <w:numId w:val="22"/>
        </w:numPr>
        <w:rPr>
          <w:spacing w:val="0"/>
          <w:szCs w:val="24"/>
        </w:rPr>
      </w:pPr>
      <w:r w:rsidRPr="004822DE">
        <w:rPr>
          <w:szCs w:val="24"/>
        </w:rPr>
        <w:t>Boni M., Szafraniec K., Arak P.: Młodzi 2011.</w:t>
      </w:r>
      <w:r w:rsidR="00610F54" w:rsidRPr="004822DE">
        <w:rPr>
          <w:szCs w:val="24"/>
        </w:rPr>
        <w:t xml:space="preserve"> </w:t>
      </w:r>
      <w:r w:rsidR="00F701D2" w:rsidRPr="004822DE">
        <w:rPr>
          <w:szCs w:val="24"/>
        </w:rPr>
        <w:t>Kancelaria Prezesa R</w:t>
      </w:r>
      <w:r w:rsidR="00610F54" w:rsidRPr="004822DE">
        <w:rPr>
          <w:szCs w:val="24"/>
        </w:rPr>
        <w:t>ady Ministrów, Warszawa 2011</w:t>
      </w:r>
      <w:r w:rsidRPr="004822DE">
        <w:rPr>
          <w:szCs w:val="24"/>
        </w:rPr>
        <w:t>.</w:t>
      </w:r>
    </w:p>
    <w:p w:rsidR="004822DE" w:rsidRPr="00920528" w:rsidRDefault="00610F54" w:rsidP="004822DE">
      <w:pPr>
        <w:pStyle w:val="literatwykaz"/>
        <w:numPr>
          <w:ilvl w:val="0"/>
          <w:numId w:val="22"/>
        </w:numPr>
        <w:rPr>
          <w:szCs w:val="24"/>
        </w:rPr>
      </w:pPr>
      <w:proofErr w:type="spellStart"/>
      <w:r w:rsidRPr="004822DE">
        <w:rPr>
          <w:szCs w:val="24"/>
        </w:rPr>
        <w:t>Study</w:t>
      </w:r>
      <w:proofErr w:type="spellEnd"/>
      <w:r w:rsidRPr="004822DE">
        <w:rPr>
          <w:szCs w:val="24"/>
        </w:rPr>
        <w:t xml:space="preserve"> in Poland, Studenci Zagraniczni w Polsce 2014, Fundacja Edukacyjna </w:t>
      </w:r>
      <w:r w:rsidRPr="00920528">
        <w:rPr>
          <w:szCs w:val="24"/>
        </w:rPr>
        <w:t>Perspektywy, październik 2014.</w:t>
      </w:r>
    </w:p>
    <w:p w:rsidR="004822DE" w:rsidRPr="001E3D85" w:rsidRDefault="00610F54" w:rsidP="004822DE">
      <w:pPr>
        <w:pStyle w:val="literatwykaz"/>
        <w:numPr>
          <w:ilvl w:val="0"/>
          <w:numId w:val="22"/>
        </w:numPr>
        <w:rPr>
          <w:szCs w:val="24"/>
          <w:lang w:val="en-US"/>
        </w:rPr>
      </w:pPr>
      <w:proofErr w:type="spellStart"/>
      <w:r w:rsidRPr="004822DE">
        <w:rPr>
          <w:szCs w:val="24"/>
          <w:lang w:val="en-US"/>
        </w:rPr>
        <w:t>Marmolejo</w:t>
      </w:r>
      <w:proofErr w:type="spellEnd"/>
      <w:r w:rsidRPr="004822DE">
        <w:rPr>
          <w:szCs w:val="24"/>
          <w:lang w:val="en-US"/>
        </w:rPr>
        <w:t>, F.</w:t>
      </w:r>
      <w:r w:rsidR="004822DE" w:rsidRPr="004822DE">
        <w:rPr>
          <w:szCs w:val="24"/>
          <w:lang w:val="en-US"/>
        </w:rPr>
        <w:t>:</w:t>
      </w:r>
      <w:r w:rsidRPr="004822DE">
        <w:rPr>
          <w:szCs w:val="24"/>
          <w:lang w:val="en-US"/>
        </w:rPr>
        <w:t xml:space="preserve"> Internationalization of Higher Education: the go</w:t>
      </w:r>
      <w:r w:rsidR="004822DE" w:rsidRPr="004822DE">
        <w:rPr>
          <w:szCs w:val="24"/>
          <w:lang w:val="en-US"/>
        </w:rPr>
        <w:t>od, the bad, and the unexpected.</w:t>
      </w:r>
      <w:r w:rsidRPr="004822DE">
        <w:rPr>
          <w:szCs w:val="24"/>
          <w:lang w:val="en-US"/>
        </w:rPr>
        <w:t xml:space="preserve"> Chronicle of Higher Education, October 2012</w:t>
      </w:r>
    </w:p>
    <w:p w:rsidR="004822DE" w:rsidRPr="004822DE" w:rsidRDefault="00610F54" w:rsidP="004822DE">
      <w:pPr>
        <w:pStyle w:val="literatwykaz"/>
        <w:numPr>
          <w:ilvl w:val="0"/>
          <w:numId w:val="22"/>
        </w:numPr>
        <w:rPr>
          <w:spacing w:val="0"/>
          <w:szCs w:val="24"/>
          <w:lang w:val="fr-FR"/>
        </w:rPr>
      </w:pPr>
      <w:r w:rsidRPr="00920528">
        <w:rPr>
          <w:szCs w:val="24"/>
          <w:lang w:val="fr-FR"/>
        </w:rPr>
        <w:t>Bullettin International des Sciences Sociales, Education interculturelle et voyages</w:t>
      </w:r>
      <w:r w:rsidRPr="004822DE">
        <w:rPr>
          <w:szCs w:val="24"/>
          <w:lang w:val="fr-FR"/>
        </w:rPr>
        <w:t xml:space="preserve"> éducatifs, Vol. 8, no 4, 1956.</w:t>
      </w:r>
    </w:p>
    <w:p w:rsidR="001E3D85" w:rsidRPr="001E3D85" w:rsidRDefault="00610F54" w:rsidP="001E3D85">
      <w:pPr>
        <w:pStyle w:val="literatwykaz"/>
        <w:numPr>
          <w:ilvl w:val="0"/>
          <w:numId w:val="22"/>
        </w:numPr>
        <w:rPr>
          <w:spacing w:val="0"/>
          <w:szCs w:val="24"/>
        </w:rPr>
      </w:pPr>
      <w:proofErr w:type="spellStart"/>
      <w:r w:rsidRPr="004822DE">
        <w:rPr>
          <w:szCs w:val="24"/>
        </w:rPr>
        <w:t>Olechnicka</w:t>
      </w:r>
      <w:proofErr w:type="spellEnd"/>
      <w:r w:rsidRPr="004822DE">
        <w:rPr>
          <w:szCs w:val="24"/>
        </w:rPr>
        <w:t xml:space="preserve"> A., Pło</w:t>
      </w:r>
      <w:r w:rsidR="004822DE" w:rsidRPr="004822DE">
        <w:rPr>
          <w:szCs w:val="24"/>
        </w:rPr>
        <w:t>szaj A., Pander A., i Wojnar K.:</w:t>
      </w:r>
      <w:r w:rsidRPr="004822DE">
        <w:rPr>
          <w:szCs w:val="24"/>
        </w:rPr>
        <w:t xml:space="preserve"> Analiza strategii, modeli działania oraz ścieżek ewolucji wiodących szkół wyższych na świecie, Raport z badania dla Projekt Foresight regionalny dla szkół wyższych Warszawy i Mazowsza, Akademickie Mazowsze 2030, Warszawa 2010.</w:t>
      </w:r>
    </w:p>
    <w:p w:rsidR="001E3D85" w:rsidRPr="001E3D85" w:rsidRDefault="004822DE" w:rsidP="001E3D85">
      <w:pPr>
        <w:pStyle w:val="literatwykaz"/>
        <w:numPr>
          <w:ilvl w:val="0"/>
          <w:numId w:val="22"/>
        </w:numPr>
        <w:rPr>
          <w:spacing w:val="0"/>
          <w:szCs w:val="24"/>
          <w:lang w:val="en-US"/>
        </w:rPr>
      </w:pPr>
      <w:r w:rsidRPr="001E3D85">
        <w:rPr>
          <w:szCs w:val="24"/>
          <w:lang w:val="en-US"/>
        </w:rPr>
        <w:lastRenderedPageBreak/>
        <w:t>Carey K.:</w:t>
      </w:r>
      <w:r w:rsidR="00610F54" w:rsidRPr="001E3D85">
        <w:rPr>
          <w:szCs w:val="24"/>
          <w:lang w:val="en-US"/>
        </w:rPr>
        <w:t xml:space="preserve"> College rankings reformed: the case for a new order in higher education, E</w:t>
      </w:r>
      <w:r w:rsidRPr="001E3D85">
        <w:rPr>
          <w:szCs w:val="24"/>
          <w:lang w:val="en-US"/>
        </w:rPr>
        <w:t xml:space="preserve">ducation Sector Reports no. 19, </w:t>
      </w:r>
      <w:r w:rsidR="00610F54" w:rsidRPr="001E3D85">
        <w:rPr>
          <w:szCs w:val="24"/>
          <w:lang w:val="en-US"/>
        </w:rPr>
        <w:t>Wa</w:t>
      </w:r>
      <w:r w:rsidRPr="001E3D85">
        <w:rPr>
          <w:szCs w:val="24"/>
          <w:lang w:val="en-US"/>
        </w:rPr>
        <w:t xml:space="preserve">shington, 2006, </w:t>
      </w:r>
      <w:hyperlink r:id="rId20" w:history="1">
        <w:r w:rsidR="00AB77A3" w:rsidRPr="001E3D85">
          <w:rPr>
            <w:szCs w:val="24"/>
            <w:lang w:val="en-US"/>
          </w:rPr>
          <w:t>http://www.educationsector.org/research/research_show.htm?doc_id=404230</w:t>
        </w:r>
      </w:hyperlink>
    </w:p>
    <w:p w:rsidR="001E3D85" w:rsidRPr="001E3D85" w:rsidRDefault="004822DE" w:rsidP="001E3D85">
      <w:pPr>
        <w:pStyle w:val="literatwykaz"/>
        <w:numPr>
          <w:ilvl w:val="0"/>
          <w:numId w:val="22"/>
        </w:numPr>
        <w:rPr>
          <w:spacing w:val="0"/>
          <w:szCs w:val="24"/>
          <w:lang w:val="en-US"/>
        </w:rPr>
      </w:pPr>
      <w:proofErr w:type="spellStart"/>
      <w:r w:rsidRPr="001E3D85">
        <w:rPr>
          <w:szCs w:val="24"/>
          <w:lang w:val="en-US"/>
        </w:rPr>
        <w:t>Bracht</w:t>
      </w:r>
      <w:proofErr w:type="spellEnd"/>
      <w:r w:rsidRPr="001E3D85">
        <w:rPr>
          <w:szCs w:val="24"/>
          <w:lang w:val="en-US"/>
        </w:rPr>
        <w:t xml:space="preserve">, O., Engel C., </w:t>
      </w:r>
      <w:r w:rsidR="00610F54" w:rsidRPr="001E3D85">
        <w:rPr>
          <w:szCs w:val="24"/>
          <w:lang w:val="en-US"/>
        </w:rPr>
        <w:t>Janson</w:t>
      </w:r>
      <w:r w:rsidRPr="001E3D85">
        <w:rPr>
          <w:szCs w:val="24"/>
          <w:lang w:val="en-US"/>
        </w:rPr>
        <w:t xml:space="preserve"> C., </w:t>
      </w:r>
      <w:r w:rsidR="00610F54" w:rsidRPr="001E3D85">
        <w:rPr>
          <w:szCs w:val="24"/>
          <w:lang w:val="en-US"/>
        </w:rPr>
        <w:t>Over</w:t>
      </w:r>
      <w:r w:rsidRPr="001E3D85">
        <w:rPr>
          <w:szCs w:val="24"/>
          <w:lang w:val="en-US"/>
        </w:rPr>
        <w:t xml:space="preserve"> K., </w:t>
      </w:r>
      <w:proofErr w:type="spellStart"/>
      <w:r w:rsidR="00610F54" w:rsidRPr="001E3D85">
        <w:rPr>
          <w:szCs w:val="24"/>
          <w:lang w:val="en-US"/>
        </w:rPr>
        <w:t>Schomburg</w:t>
      </w:r>
      <w:proofErr w:type="spellEnd"/>
      <w:r w:rsidRPr="001E3D85">
        <w:rPr>
          <w:szCs w:val="24"/>
          <w:lang w:val="en-US"/>
        </w:rPr>
        <w:t xml:space="preserve"> H., </w:t>
      </w:r>
      <w:proofErr w:type="spellStart"/>
      <w:r w:rsidR="00610F54" w:rsidRPr="001E3D85">
        <w:rPr>
          <w:szCs w:val="24"/>
          <w:lang w:val="en-US"/>
        </w:rPr>
        <w:t>Teichler</w:t>
      </w:r>
      <w:proofErr w:type="spellEnd"/>
      <w:r w:rsidRPr="001E3D85">
        <w:rPr>
          <w:szCs w:val="24"/>
          <w:lang w:val="en-US"/>
        </w:rPr>
        <w:t xml:space="preserve"> U.:</w:t>
      </w:r>
      <w:r w:rsidR="00610F54" w:rsidRPr="001E3D85">
        <w:rPr>
          <w:szCs w:val="24"/>
          <w:lang w:val="en-US"/>
        </w:rPr>
        <w:t xml:space="preserve"> The professional value of Erasmus mobility. Kassel/Brussels: International Centre for Higher Education Research, EC, 2006.</w:t>
      </w:r>
    </w:p>
    <w:p w:rsidR="001E3D85" w:rsidRPr="001E3D85" w:rsidRDefault="004822DE" w:rsidP="001E3D85">
      <w:pPr>
        <w:pStyle w:val="literatwykaz"/>
        <w:numPr>
          <w:ilvl w:val="0"/>
          <w:numId w:val="22"/>
        </w:numPr>
        <w:rPr>
          <w:spacing w:val="0"/>
          <w:szCs w:val="24"/>
        </w:rPr>
      </w:pPr>
      <w:r w:rsidRPr="001E3D85">
        <w:rPr>
          <w:szCs w:val="24"/>
        </w:rPr>
        <w:t>Koźmiński A.K.:</w:t>
      </w:r>
      <w:r w:rsidR="00AA24E2" w:rsidRPr="001E3D85">
        <w:rPr>
          <w:szCs w:val="24"/>
        </w:rPr>
        <w:t xml:space="preserve"> Kultura sieci</w:t>
      </w:r>
      <w:r w:rsidR="005610CB" w:rsidRPr="001E3D85">
        <w:rPr>
          <w:szCs w:val="24"/>
        </w:rPr>
        <w:t xml:space="preserve">? </w:t>
      </w:r>
      <w:r w:rsidR="001E3D85">
        <w:rPr>
          <w:szCs w:val="24"/>
        </w:rPr>
        <w:t xml:space="preserve"> </w:t>
      </w:r>
      <w:r w:rsidR="00B42FE8" w:rsidRPr="001E3D85">
        <w:rPr>
          <w:szCs w:val="24"/>
        </w:rPr>
        <w:t xml:space="preserve">Kongres Kultury Akademickiej, Kraków 20-22.03.2014, </w:t>
      </w:r>
      <w:hyperlink r:id="rId21" w:history="1">
        <w:r w:rsidR="00B42FE8" w:rsidRPr="001E3D85">
          <w:rPr>
            <w:szCs w:val="24"/>
          </w:rPr>
          <w:t>http://kongresakademicki.pl/kultura-sieci-andrzej-k-kozminski/</w:t>
        </w:r>
      </w:hyperlink>
      <w:r w:rsidR="00B42FE8" w:rsidRPr="001E3D85">
        <w:rPr>
          <w:szCs w:val="24"/>
        </w:rPr>
        <w:t xml:space="preserve"> </w:t>
      </w:r>
    </w:p>
    <w:p w:rsidR="001E3D85" w:rsidRPr="001E3D85" w:rsidRDefault="00610F54" w:rsidP="001E3D85">
      <w:pPr>
        <w:pStyle w:val="literatwykaz"/>
        <w:numPr>
          <w:ilvl w:val="0"/>
          <w:numId w:val="22"/>
        </w:numPr>
        <w:rPr>
          <w:spacing w:val="0"/>
          <w:szCs w:val="24"/>
        </w:rPr>
      </w:pPr>
      <w:r w:rsidRPr="001E3D85">
        <w:rPr>
          <w:szCs w:val="24"/>
        </w:rPr>
        <w:t>Erasmus w Polsce, Polska w Erasmusie, Fundacja Rozwoju Systemu Edukacji, Warszawa 2012.</w:t>
      </w:r>
    </w:p>
    <w:p w:rsidR="001E3D85" w:rsidRPr="001E3D85" w:rsidRDefault="00610F54" w:rsidP="001E3D85">
      <w:pPr>
        <w:pStyle w:val="literatwykaz"/>
        <w:numPr>
          <w:ilvl w:val="0"/>
          <w:numId w:val="22"/>
        </w:numPr>
        <w:rPr>
          <w:rStyle w:val="Hipercze"/>
          <w:color w:val="auto"/>
          <w:spacing w:val="0"/>
          <w:szCs w:val="24"/>
          <w:u w:val="none"/>
        </w:rPr>
      </w:pPr>
      <w:r w:rsidRPr="001E3D85">
        <w:rPr>
          <w:szCs w:val="24"/>
        </w:rPr>
        <w:t xml:space="preserve">Komunikat prasowy Komisji Europejskiej z 22.09.2014 r., </w:t>
      </w:r>
      <w:hyperlink r:id="rId22" w:history="1">
        <w:r w:rsidRPr="00E73DA7">
          <w:rPr>
            <w:rStyle w:val="Hipercze"/>
          </w:rPr>
          <w:t>http://europa.eu/rapid/press-release_IP-14-1025_pl.htm</w:t>
        </w:r>
      </w:hyperlink>
    </w:p>
    <w:p w:rsidR="001E3D85" w:rsidRPr="001E3D85" w:rsidRDefault="00610F54" w:rsidP="001E3D85">
      <w:pPr>
        <w:pStyle w:val="literatwykaz"/>
        <w:numPr>
          <w:ilvl w:val="0"/>
          <w:numId w:val="22"/>
        </w:numPr>
        <w:rPr>
          <w:spacing w:val="0"/>
          <w:szCs w:val="24"/>
        </w:rPr>
      </w:pPr>
      <w:r w:rsidRPr="001E3D85">
        <w:rPr>
          <w:szCs w:val="24"/>
        </w:rPr>
        <w:t>Instytut Sokrates, Demograficzne Tsunami, Raport na temat wpływu zmian demograficznych na szkolnictwo wyższe do 2020 r., Warszawa 2011, s. 7.</w:t>
      </w:r>
    </w:p>
    <w:p w:rsidR="001E3D85" w:rsidRPr="001E3D85" w:rsidRDefault="00610F54" w:rsidP="001E3D85">
      <w:pPr>
        <w:pStyle w:val="literatwykaz"/>
        <w:numPr>
          <w:ilvl w:val="0"/>
          <w:numId w:val="22"/>
        </w:numPr>
        <w:rPr>
          <w:spacing w:val="0"/>
          <w:szCs w:val="24"/>
          <w:lang w:val="en-US"/>
        </w:rPr>
      </w:pPr>
      <w:proofErr w:type="spellStart"/>
      <w:r w:rsidRPr="001E3D85">
        <w:rPr>
          <w:szCs w:val="24"/>
          <w:lang w:val="en-US"/>
        </w:rPr>
        <w:t>Proulx</w:t>
      </w:r>
      <w:proofErr w:type="spellEnd"/>
      <w:r w:rsidRPr="001E3D85">
        <w:rPr>
          <w:szCs w:val="24"/>
          <w:lang w:val="en-US"/>
        </w:rPr>
        <w:t xml:space="preserve"> R.</w:t>
      </w:r>
      <w:r w:rsidR="004822DE" w:rsidRPr="001E3D85">
        <w:rPr>
          <w:szCs w:val="24"/>
          <w:lang w:val="en-US"/>
        </w:rPr>
        <w:t>:</w:t>
      </w:r>
      <w:r w:rsidRPr="001E3D85">
        <w:rPr>
          <w:szCs w:val="24"/>
          <w:lang w:val="en-US"/>
        </w:rPr>
        <w:t xml:space="preserve"> Higher Education Ranking and Leagues Tables: Lessons Learned from Benchmarking, Higher Education in Europe 32 (1)</w:t>
      </w:r>
      <w:r w:rsidR="00222E90" w:rsidRPr="001E3D85">
        <w:rPr>
          <w:szCs w:val="24"/>
          <w:lang w:val="en-US"/>
        </w:rPr>
        <w:t>, 2007.</w:t>
      </w:r>
    </w:p>
    <w:p w:rsidR="001E3D85" w:rsidRPr="001E3D85" w:rsidRDefault="00610F54" w:rsidP="001E3D85">
      <w:pPr>
        <w:pStyle w:val="literatwykaz"/>
        <w:numPr>
          <w:ilvl w:val="0"/>
          <w:numId w:val="22"/>
        </w:numPr>
        <w:rPr>
          <w:spacing w:val="0"/>
          <w:szCs w:val="24"/>
          <w:lang w:val="en-US"/>
        </w:rPr>
      </w:pPr>
      <w:r w:rsidRPr="001E3D85">
        <w:rPr>
          <w:szCs w:val="24"/>
          <w:lang w:val="en-US"/>
        </w:rPr>
        <w:t>Harvey D.</w:t>
      </w:r>
      <w:r w:rsidR="001E3D85" w:rsidRPr="001E3D85">
        <w:rPr>
          <w:szCs w:val="24"/>
          <w:lang w:val="en-US"/>
        </w:rPr>
        <w:t>:</w:t>
      </w:r>
      <w:r w:rsidRPr="001E3D85">
        <w:rPr>
          <w:szCs w:val="24"/>
          <w:lang w:val="en-US"/>
        </w:rPr>
        <w:t xml:space="preserve"> The New Imperialism. Oxford, UK, Ne</w:t>
      </w:r>
      <w:r w:rsidR="00222E90" w:rsidRPr="001E3D85">
        <w:rPr>
          <w:szCs w:val="24"/>
          <w:lang w:val="en-US"/>
        </w:rPr>
        <w:t>w York: Oxford University Press, 2003.</w:t>
      </w:r>
    </w:p>
    <w:p w:rsidR="001E3D85" w:rsidRPr="001E3D85" w:rsidRDefault="00F701D2" w:rsidP="001E3D85">
      <w:pPr>
        <w:pStyle w:val="literatwykaz"/>
        <w:numPr>
          <w:ilvl w:val="0"/>
          <w:numId w:val="22"/>
        </w:numPr>
        <w:rPr>
          <w:lang w:val="de-DE"/>
        </w:rPr>
      </w:pPr>
      <w:r w:rsidRPr="001E3D85">
        <w:rPr>
          <w:szCs w:val="24"/>
        </w:rPr>
        <w:t xml:space="preserve">GUS, Rocznik Statystyczny Rzeczpospolitej Polskiej, </w:t>
      </w:r>
      <w:hyperlink r:id="rId23" w:history="1">
        <w:r w:rsidRPr="001E3D85">
          <w:rPr>
            <w:szCs w:val="24"/>
            <w:lang w:val="de-DE"/>
          </w:rPr>
          <w:t>www.stat.gov.pl</w:t>
        </w:r>
      </w:hyperlink>
    </w:p>
    <w:p w:rsidR="001E3D85" w:rsidRPr="001E3D85" w:rsidRDefault="00AB77A3" w:rsidP="001E3D85">
      <w:pPr>
        <w:pStyle w:val="literatwykaz"/>
        <w:numPr>
          <w:ilvl w:val="0"/>
          <w:numId w:val="22"/>
        </w:numPr>
        <w:rPr>
          <w:lang w:val="de-DE"/>
        </w:rPr>
      </w:pPr>
      <w:proofErr w:type="spellStart"/>
      <w:r w:rsidRPr="001E3D85">
        <w:rPr>
          <w:szCs w:val="24"/>
          <w:lang w:val="de-DE"/>
        </w:rPr>
        <w:t>Komunikat</w:t>
      </w:r>
      <w:proofErr w:type="spellEnd"/>
      <w:r w:rsidRPr="001E3D85">
        <w:rPr>
          <w:szCs w:val="24"/>
          <w:lang w:val="de-DE"/>
        </w:rPr>
        <w:t xml:space="preserve"> </w:t>
      </w:r>
      <w:proofErr w:type="spellStart"/>
      <w:r w:rsidRPr="001E3D85">
        <w:rPr>
          <w:szCs w:val="24"/>
          <w:lang w:val="de-DE"/>
        </w:rPr>
        <w:t>Komisji</w:t>
      </w:r>
      <w:proofErr w:type="spellEnd"/>
      <w:r w:rsidRPr="001E3D85">
        <w:rPr>
          <w:szCs w:val="24"/>
          <w:lang w:val="de-DE"/>
        </w:rPr>
        <w:t xml:space="preserve"> </w:t>
      </w:r>
      <w:proofErr w:type="spellStart"/>
      <w:r w:rsidRPr="001E3D85">
        <w:rPr>
          <w:szCs w:val="24"/>
          <w:lang w:val="de-DE"/>
        </w:rPr>
        <w:t>Europejskiej</w:t>
      </w:r>
      <w:proofErr w:type="spellEnd"/>
      <w:r w:rsidRPr="001E3D85">
        <w:rPr>
          <w:szCs w:val="24"/>
          <w:lang w:val="de-DE"/>
        </w:rPr>
        <w:t xml:space="preserve"> </w:t>
      </w:r>
      <w:proofErr w:type="spellStart"/>
      <w:r w:rsidRPr="001E3D85">
        <w:rPr>
          <w:szCs w:val="24"/>
          <w:lang w:val="de-DE"/>
        </w:rPr>
        <w:t>pt</w:t>
      </w:r>
      <w:proofErr w:type="spellEnd"/>
      <w:r w:rsidRPr="001E3D85">
        <w:rPr>
          <w:szCs w:val="24"/>
          <w:lang w:val="de-DE"/>
        </w:rPr>
        <w:t xml:space="preserve">. </w:t>
      </w:r>
      <w:r w:rsidR="00222E90" w:rsidRPr="001E3D85">
        <w:rPr>
          <w:szCs w:val="24"/>
          <w:lang w:val="de-DE"/>
        </w:rPr>
        <w:t xml:space="preserve">Europejskie </w:t>
      </w:r>
      <w:proofErr w:type="spellStart"/>
      <w:r w:rsidR="00222E90" w:rsidRPr="001E3D85">
        <w:rPr>
          <w:szCs w:val="24"/>
          <w:lang w:val="de-DE"/>
        </w:rPr>
        <w:t>Szkolnictwo</w:t>
      </w:r>
      <w:proofErr w:type="spellEnd"/>
      <w:r w:rsidR="00222E90" w:rsidRPr="001E3D85">
        <w:rPr>
          <w:szCs w:val="24"/>
          <w:lang w:val="de-DE"/>
        </w:rPr>
        <w:t xml:space="preserve"> </w:t>
      </w:r>
      <w:proofErr w:type="spellStart"/>
      <w:r w:rsidR="00222E90" w:rsidRPr="001E3D85">
        <w:rPr>
          <w:szCs w:val="24"/>
          <w:lang w:val="de-DE"/>
        </w:rPr>
        <w:t>Wyższe</w:t>
      </w:r>
      <w:proofErr w:type="spellEnd"/>
      <w:r w:rsidR="00222E90" w:rsidRPr="001E3D85">
        <w:rPr>
          <w:szCs w:val="24"/>
          <w:lang w:val="de-DE"/>
        </w:rPr>
        <w:t xml:space="preserve"> na </w:t>
      </w:r>
      <w:proofErr w:type="spellStart"/>
      <w:r w:rsidR="00222E90" w:rsidRPr="001E3D85">
        <w:rPr>
          <w:szCs w:val="24"/>
          <w:lang w:val="de-DE"/>
        </w:rPr>
        <w:t>Św</w:t>
      </w:r>
      <w:r w:rsidR="00222E90" w:rsidRPr="001E3D85">
        <w:rPr>
          <w:szCs w:val="24"/>
        </w:rPr>
        <w:t>iecie</w:t>
      </w:r>
      <w:proofErr w:type="spellEnd"/>
      <w:r w:rsidR="00222E90" w:rsidRPr="001E3D85">
        <w:rPr>
          <w:szCs w:val="24"/>
        </w:rPr>
        <w:t xml:space="preserve">, COM/2013/0499 </w:t>
      </w:r>
      <w:proofErr w:type="spellStart"/>
      <w:r w:rsidR="00222E90" w:rsidRPr="001E3D85">
        <w:rPr>
          <w:szCs w:val="24"/>
        </w:rPr>
        <w:t>final</w:t>
      </w:r>
      <w:proofErr w:type="spellEnd"/>
      <w:r w:rsidR="00222E90" w:rsidRPr="001E3D85">
        <w:rPr>
          <w:szCs w:val="24"/>
        </w:rPr>
        <w:t xml:space="preserve">, </w:t>
      </w:r>
      <w:hyperlink r:id="rId24" w:history="1">
        <w:r w:rsidR="00222E90" w:rsidRPr="001E3D85">
          <w:rPr>
            <w:szCs w:val="24"/>
            <w:lang w:val="de-DE"/>
          </w:rPr>
          <w:t>http://eur-lex.europa.eu/LexUriServ/LexUriServ.do?uri=COM:2013:0499:FIN:PL:PDF</w:t>
        </w:r>
      </w:hyperlink>
    </w:p>
    <w:p w:rsidR="001E3D85" w:rsidRPr="001E3D85" w:rsidRDefault="005D17B1" w:rsidP="001E3D85">
      <w:pPr>
        <w:pStyle w:val="literatwykaz"/>
        <w:numPr>
          <w:ilvl w:val="0"/>
          <w:numId w:val="22"/>
        </w:numPr>
        <w:rPr>
          <w:lang w:val="de-DE"/>
        </w:rPr>
      </w:pPr>
      <w:proofErr w:type="spellStart"/>
      <w:r w:rsidRPr="001E3D85">
        <w:rPr>
          <w:szCs w:val="24"/>
          <w:lang w:val="de-DE"/>
        </w:rPr>
        <w:t>Komunikat</w:t>
      </w:r>
      <w:proofErr w:type="spellEnd"/>
      <w:r w:rsidRPr="001E3D85">
        <w:rPr>
          <w:szCs w:val="24"/>
          <w:lang w:val="de-DE"/>
        </w:rPr>
        <w:t xml:space="preserve"> </w:t>
      </w:r>
      <w:proofErr w:type="spellStart"/>
      <w:r w:rsidRPr="001E3D85">
        <w:rPr>
          <w:szCs w:val="24"/>
          <w:lang w:val="de-DE"/>
        </w:rPr>
        <w:t>Komisji</w:t>
      </w:r>
      <w:proofErr w:type="spellEnd"/>
      <w:r w:rsidRPr="001E3D85">
        <w:rPr>
          <w:szCs w:val="24"/>
          <w:lang w:val="de-DE"/>
        </w:rPr>
        <w:t xml:space="preserve"> </w:t>
      </w:r>
      <w:proofErr w:type="spellStart"/>
      <w:r w:rsidRPr="001E3D85">
        <w:rPr>
          <w:szCs w:val="24"/>
          <w:lang w:val="de-DE"/>
        </w:rPr>
        <w:t>Europejskiej</w:t>
      </w:r>
      <w:proofErr w:type="spellEnd"/>
      <w:r w:rsidRPr="001E3D85">
        <w:rPr>
          <w:szCs w:val="24"/>
          <w:lang w:val="de-DE"/>
        </w:rPr>
        <w:t xml:space="preserve"> </w:t>
      </w:r>
      <w:proofErr w:type="spellStart"/>
      <w:r w:rsidRPr="001E3D85">
        <w:rPr>
          <w:szCs w:val="24"/>
          <w:lang w:val="de-DE"/>
        </w:rPr>
        <w:t>pt</w:t>
      </w:r>
      <w:proofErr w:type="spellEnd"/>
      <w:r w:rsidRPr="001E3D85">
        <w:rPr>
          <w:szCs w:val="24"/>
          <w:lang w:val="de-DE"/>
        </w:rPr>
        <w:t xml:space="preserve">. Sprawozdanie Komisji </w:t>
      </w:r>
      <w:proofErr w:type="spellStart"/>
      <w:r w:rsidRPr="001E3D85">
        <w:rPr>
          <w:szCs w:val="24"/>
          <w:lang w:val="de-DE"/>
        </w:rPr>
        <w:t>dla</w:t>
      </w:r>
      <w:proofErr w:type="spellEnd"/>
      <w:r w:rsidRPr="001E3D85">
        <w:rPr>
          <w:szCs w:val="24"/>
          <w:lang w:val="de-DE"/>
        </w:rPr>
        <w:t xml:space="preserve"> </w:t>
      </w:r>
      <w:proofErr w:type="spellStart"/>
      <w:r w:rsidRPr="001E3D85">
        <w:rPr>
          <w:szCs w:val="24"/>
          <w:lang w:val="de-DE"/>
        </w:rPr>
        <w:t>Parlamentu</w:t>
      </w:r>
      <w:proofErr w:type="spellEnd"/>
      <w:r w:rsidRPr="001E3D85">
        <w:rPr>
          <w:szCs w:val="24"/>
          <w:lang w:val="de-DE"/>
        </w:rPr>
        <w:t xml:space="preserve"> </w:t>
      </w:r>
      <w:proofErr w:type="spellStart"/>
      <w:r w:rsidRPr="001E3D85">
        <w:rPr>
          <w:szCs w:val="24"/>
          <w:lang w:val="de-DE"/>
        </w:rPr>
        <w:t>Europejskiego</w:t>
      </w:r>
      <w:proofErr w:type="spellEnd"/>
      <w:r w:rsidRPr="001E3D85">
        <w:rPr>
          <w:szCs w:val="24"/>
          <w:lang w:val="de-DE"/>
        </w:rPr>
        <w:t xml:space="preserve">, </w:t>
      </w:r>
      <w:proofErr w:type="spellStart"/>
      <w:r w:rsidRPr="001E3D85">
        <w:rPr>
          <w:szCs w:val="24"/>
          <w:lang w:val="de-DE"/>
        </w:rPr>
        <w:t>Rady</w:t>
      </w:r>
      <w:proofErr w:type="spellEnd"/>
      <w:r w:rsidRPr="001E3D85">
        <w:rPr>
          <w:szCs w:val="24"/>
          <w:lang w:val="de-DE"/>
        </w:rPr>
        <w:t xml:space="preserve">, </w:t>
      </w:r>
      <w:proofErr w:type="spellStart"/>
      <w:r w:rsidRPr="001E3D85">
        <w:rPr>
          <w:szCs w:val="24"/>
          <w:lang w:val="de-DE"/>
        </w:rPr>
        <w:t>Europejskiego</w:t>
      </w:r>
      <w:proofErr w:type="spellEnd"/>
      <w:r w:rsidRPr="001E3D85">
        <w:rPr>
          <w:szCs w:val="24"/>
          <w:lang w:val="de-DE"/>
        </w:rPr>
        <w:t xml:space="preserve"> </w:t>
      </w:r>
      <w:proofErr w:type="spellStart"/>
      <w:r w:rsidRPr="001E3D85">
        <w:rPr>
          <w:szCs w:val="24"/>
          <w:lang w:val="de-DE"/>
        </w:rPr>
        <w:t>Komitetu</w:t>
      </w:r>
      <w:proofErr w:type="spellEnd"/>
      <w:r w:rsidRPr="001E3D85">
        <w:rPr>
          <w:szCs w:val="24"/>
          <w:lang w:val="de-DE"/>
        </w:rPr>
        <w:t xml:space="preserve"> </w:t>
      </w:r>
      <w:proofErr w:type="spellStart"/>
      <w:r w:rsidRPr="001E3D85">
        <w:rPr>
          <w:szCs w:val="24"/>
          <w:lang w:val="de-DE"/>
        </w:rPr>
        <w:t>Ekonomiczno-Społecznego</w:t>
      </w:r>
      <w:proofErr w:type="spellEnd"/>
      <w:r w:rsidRPr="001E3D85">
        <w:rPr>
          <w:szCs w:val="24"/>
          <w:lang w:val="de-DE"/>
        </w:rPr>
        <w:t xml:space="preserve"> i </w:t>
      </w:r>
      <w:proofErr w:type="spellStart"/>
      <w:r w:rsidRPr="001E3D85">
        <w:rPr>
          <w:szCs w:val="24"/>
          <w:lang w:val="de-DE"/>
        </w:rPr>
        <w:t>Komitetu</w:t>
      </w:r>
      <w:proofErr w:type="spellEnd"/>
      <w:r w:rsidRPr="001E3D85">
        <w:rPr>
          <w:szCs w:val="24"/>
          <w:lang w:val="de-DE"/>
        </w:rPr>
        <w:t xml:space="preserve"> Regionów</w:t>
      </w:r>
      <w:r w:rsidR="001E3D85">
        <w:rPr>
          <w:szCs w:val="24"/>
          <w:lang w:val="de-DE"/>
        </w:rPr>
        <w:t>,</w:t>
      </w:r>
      <w:r w:rsidRPr="001E3D85">
        <w:rPr>
          <w:szCs w:val="24"/>
          <w:lang w:val="de-DE"/>
        </w:rPr>
        <w:t xml:space="preserve">28.01.2014, </w:t>
      </w:r>
      <w:hyperlink r:id="rId25" w:history="1">
        <w:r w:rsidR="001E3D85" w:rsidRPr="001E3D85">
          <w:rPr>
            <w:szCs w:val="24"/>
            <w:lang w:val="de-DE"/>
          </w:rPr>
          <w:t>file:///C:/Users/Monika_/Downloads/COM_2014_29_PL_ACTE_f%20(1).pdf</w:t>
        </w:r>
      </w:hyperlink>
    </w:p>
    <w:p w:rsidR="004E64E6" w:rsidRPr="001E3D85" w:rsidRDefault="004E64E6" w:rsidP="001E3D85">
      <w:pPr>
        <w:pStyle w:val="literatwykaz"/>
        <w:numPr>
          <w:ilvl w:val="0"/>
          <w:numId w:val="22"/>
        </w:numPr>
        <w:rPr>
          <w:szCs w:val="24"/>
          <w:lang w:val="de-DE"/>
        </w:rPr>
      </w:pPr>
      <w:r w:rsidRPr="001E3D85">
        <w:rPr>
          <w:szCs w:val="24"/>
          <w:lang w:val="de-DE"/>
        </w:rPr>
        <w:t xml:space="preserve">Joint </w:t>
      </w:r>
      <w:proofErr w:type="spellStart"/>
      <w:r w:rsidRPr="001E3D85">
        <w:rPr>
          <w:szCs w:val="24"/>
          <w:lang w:val="de-DE"/>
        </w:rPr>
        <w:t>and</w:t>
      </w:r>
      <w:proofErr w:type="spellEnd"/>
      <w:r w:rsidRPr="001E3D85">
        <w:rPr>
          <w:szCs w:val="24"/>
          <w:lang w:val="de-DE"/>
        </w:rPr>
        <w:t xml:space="preserve"> Double </w:t>
      </w:r>
      <w:proofErr w:type="spellStart"/>
      <w:r w:rsidRPr="001E3D85">
        <w:rPr>
          <w:szCs w:val="24"/>
          <w:lang w:val="de-DE"/>
        </w:rPr>
        <w:t>Degree</w:t>
      </w:r>
      <w:proofErr w:type="spellEnd"/>
      <w:r w:rsidRPr="001E3D85">
        <w:rPr>
          <w:szCs w:val="24"/>
          <w:lang w:val="de-DE"/>
        </w:rPr>
        <w:t xml:space="preserve"> </w:t>
      </w:r>
      <w:proofErr w:type="spellStart"/>
      <w:r w:rsidRPr="001E3D85">
        <w:rPr>
          <w:szCs w:val="24"/>
          <w:lang w:val="de-DE"/>
        </w:rPr>
        <w:t>Programs</w:t>
      </w:r>
      <w:proofErr w:type="spellEnd"/>
      <w:r w:rsidRPr="001E3D85">
        <w:rPr>
          <w:szCs w:val="24"/>
          <w:lang w:val="de-DE"/>
        </w:rPr>
        <w:t xml:space="preserve"> in the Global Context, Institute of International Education, Report on an International Survey (2011)</w:t>
      </w:r>
      <w:r w:rsidRPr="001E3D85">
        <w:rPr>
          <w:lang w:val="en-US"/>
        </w:rPr>
        <w:t xml:space="preserve">, </w:t>
      </w:r>
      <w:hyperlink r:id="rId26" w:history="1">
        <w:r w:rsidRPr="001E3D85">
          <w:rPr>
            <w:szCs w:val="24"/>
            <w:lang w:val="de-DE"/>
          </w:rPr>
          <w:t>http://www.iie.org/EN/Research-and-Publications/Publications-and-Reports/IIE-Bookstore/Joint-Degree-Survey-Report-2011</w:t>
        </w:r>
      </w:hyperlink>
    </w:p>
    <w:p w:rsidR="001E3D85" w:rsidRPr="001E3D85" w:rsidRDefault="001E3D85" w:rsidP="001E3D85">
      <w:pPr>
        <w:pStyle w:val="literatwykaz"/>
        <w:numPr>
          <w:ilvl w:val="0"/>
          <w:numId w:val="22"/>
        </w:numPr>
        <w:rPr>
          <w:szCs w:val="24"/>
          <w:lang w:val="en-US"/>
        </w:rPr>
      </w:pPr>
      <w:r w:rsidRPr="00920528">
        <w:rPr>
          <w:szCs w:val="24"/>
        </w:rPr>
        <w:t xml:space="preserve">Kwiek M.: Zarządzanie polskim szkolnictwem wyższym w kontekście transformacji zarządzania w szkolnictwie wyższym w Europie. </w:t>
      </w:r>
      <w:r w:rsidRPr="001E3D85">
        <w:rPr>
          <w:szCs w:val="24"/>
          <w:lang w:val="en-US"/>
        </w:rPr>
        <w:t>CPP RPS, Volume 15, 2010.</w:t>
      </w:r>
    </w:p>
    <w:p w:rsidR="001E3D85" w:rsidRPr="001E3D85" w:rsidRDefault="001E3D85" w:rsidP="001E3D85">
      <w:pPr>
        <w:pStyle w:val="literatwykaz"/>
        <w:numPr>
          <w:ilvl w:val="0"/>
          <w:numId w:val="22"/>
        </w:numPr>
        <w:rPr>
          <w:szCs w:val="24"/>
          <w:lang w:val="en-US"/>
        </w:rPr>
      </w:pPr>
      <w:r w:rsidRPr="00920528">
        <w:rPr>
          <w:szCs w:val="24"/>
        </w:rPr>
        <w:t xml:space="preserve">Kwiek M.: Integracja europejska a europejska integracja szkolnictwa wyższego. </w:t>
      </w:r>
      <w:r w:rsidRPr="001E3D85">
        <w:rPr>
          <w:szCs w:val="24"/>
          <w:lang w:val="en-US"/>
        </w:rPr>
        <w:t>CPP RPS, Volume 17, 2010.</w:t>
      </w:r>
    </w:p>
    <w:p w:rsidR="00BC2864" w:rsidRPr="00BC2864" w:rsidRDefault="001E3D85" w:rsidP="00BC2864">
      <w:pPr>
        <w:pStyle w:val="literatwykaz"/>
        <w:numPr>
          <w:ilvl w:val="0"/>
          <w:numId w:val="22"/>
        </w:numPr>
        <w:rPr>
          <w:szCs w:val="24"/>
        </w:rPr>
      </w:pPr>
      <w:proofErr w:type="spellStart"/>
      <w:r w:rsidRPr="00BC2864">
        <w:rPr>
          <w:szCs w:val="24"/>
        </w:rPr>
        <w:t>Szomnik</w:t>
      </w:r>
      <w:proofErr w:type="spellEnd"/>
      <w:r w:rsidRPr="00BC2864">
        <w:rPr>
          <w:szCs w:val="24"/>
        </w:rPr>
        <w:t xml:space="preserve"> A.: Uczelnia na zagranicznym rynku edukacyjnym – strategia internacjonalizacji szkoły wyższej</w:t>
      </w:r>
    </w:p>
    <w:p w:rsidR="00BC2864" w:rsidRPr="00BC2864" w:rsidRDefault="00F0722A" w:rsidP="00BC2864">
      <w:pPr>
        <w:pStyle w:val="literatwykaz"/>
        <w:numPr>
          <w:ilvl w:val="0"/>
          <w:numId w:val="22"/>
        </w:numPr>
        <w:rPr>
          <w:szCs w:val="24"/>
        </w:rPr>
      </w:pPr>
      <w:hyperlink r:id="rId27" w:history="1">
        <w:r w:rsidR="00222E90" w:rsidRPr="00BC2864">
          <w:rPr>
            <w:szCs w:val="24"/>
            <w:lang w:val="de-DE"/>
          </w:rPr>
          <w:t>http://europa.eu/rapid/press-release_MEMO-13-647_en.htm</w:t>
        </w:r>
      </w:hyperlink>
    </w:p>
    <w:p w:rsidR="00BC2864" w:rsidRPr="00BC2864" w:rsidRDefault="00F0722A" w:rsidP="00BC2864">
      <w:pPr>
        <w:pStyle w:val="literatwykaz"/>
        <w:numPr>
          <w:ilvl w:val="0"/>
          <w:numId w:val="22"/>
        </w:numPr>
        <w:rPr>
          <w:szCs w:val="24"/>
        </w:rPr>
      </w:pPr>
      <w:hyperlink r:id="rId28" w:history="1">
        <w:r w:rsidR="00222E90" w:rsidRPr="00BC2864">
          <w:rPr>
            <w:szCs w:val="24"/>
            <w:lang w:val="de-DE"/>
          </w:rPr>
          <w:t>http://ec.europa.eu/education/erasmus-for-all/</w:t>
        </w:r>
      </w:hyperlink>
      <w:r w:rsidR="00222E90" w:rsidRPr="00BC2864">
        <w:rPr>
          <w:szCs w:val="24"/>
          <w:lang w:val="de-DE"/>
        </w:rPr>
        <w:t xml:space="preserve"> </w:t>
      </w:r>
    </w:p>
    <w:p w:rsidR="00BC2864" w:rsidRPr="00BC2864" w:rsidRDefault="00F0722A" w:rsidP="00BC2864">
      <w:pPr>
        <w:pStyle w:val="literatwykaz"/>
        <w:numPr>
          <w:ilvl w:val="0"/>
          <w:numId w:val="22"/>
        </w:numPr>
        <w:rPr>
          <w:szCs w:val="24"/>
        </w:rPr>
      </w:pPr>
      <w:hyperlink r:id="rId29" w:history="1">
        <w:r w:rsidR="00222E90" w:rsidRPr="00BC2864">
          <w:rPr>
            <w:szCs w:val="24"/>
            <w:lang w:val="de-DE"/>
          </w:rPr>
          <w:t>https://www.coursera.org/</w:t>
        </w:r>
      </w:hyperlink>
    </w:p>
    <w:p w:rsidR="00BC2864" w:rsidRPr="00BC2864" w:rsidRDefault="00F0722A" w:rsidP="00BC2864">
      <w:pPr>
        <w:pStyle w:val="literatwykaz"/>
        <w:numPr>
          <w:ilvl w:val="0"/>
          <w:numId w:val="22"/>
        </w:numPr>
        <w:rPr>
          <w:szCs w:val="24"/>
        </w:rPr>
      </w:pPr>
      <w:hyperlink r:id="rId30" w:history="1">
        <w:r w:rsidR="00610F54" w:rsidRPr="00BC2864">
          <w:rPr>
            <w:szCs w:val="24"/>
            <w:lang w:val="de-DE"/>
          </w:rPr>
          <w:t>http://rankings.ft.com/businessschoolrankings/</w:t>
        </w:r>
      </w:hyperlink>
    </w:p>
    <w:p w:rsidR="00BC2864" w:rsidRPr="00BC2864" w:rsidRDefault="00F0722A" w:rsidP="00BC2864">
      <w:pPr>
        <w:pStyle w:val="literatwykaz"/>
        <w:numPr>
          <w:ilvl w:val="0"/>
          <w:numId w:val="22"/>
        </w:numPr>
        <w:rPr>
          <w:szCs w:val="24"/>
        </w:rPr>
      </w:pPr>
      <w:hyperlink r:id="rId31" w:history="1">
        <w:r w:rsidR="00222E90" w:rsidRPr="00BC2864">
          <w:rPr>
            <w:szCs w:val="24"/>
            <w:lang w:val="de-DE"/>
          </w:rPr>
          <w:t>http://www.globalhighered.org/branchcampuses.php</w:t>
        </w:r>
      </w:hyperlink>
    </w:p>
    <w:p w:rsidR="00222E90" w:rsidRPr="00BC2864" w:rsidRDefault="00F0722A" w:rsidP="00BC2864">
      <w:pPr>
        <w:pStyle w:val="literatwykaz"/>
        <w:numPr>
          <w:ilvl w:val="0"/>
          <w:numId w:val="22"/>
        </w:numPr>
        <w:rPr>
          <w:szCs w:val="24"/>
          <w:lang w:val="de-DE"/>
        </w:rPr>
      </w:pPr>
      <w:hyperlink r:id="rId32" w:history="1">
        <w:r w:rsidR="004E64E6" w:rsidRPr="00BC2864">
          <w:rPr>
            <w:szCs w:val="24"/>
            <w:lang w:val="de-DE"/>
          </w:rPr>
          <w:t>http://www.dfat.gov.au/about-us/publications/Pages/trade-in-services-australia.aspx</w:t>
        </w:r>
      </w:hyperlink>
      <w:r w:rsidR="004E64E6" w:rsidRPr="00BC2864">
        <w:rPr>
          <w:szCs w:val="24"/>
          <w:lang w:val="de-DE"/>
        </w:rPr>
        <w:t xml:space="preserve"> </w:t>
      </w:r>
    </w:p>
    <w:p w:rsidR="0002500F" w:rsidRDefault="0002500F" w:rsidP="006F0C02">
      <w:pPr>
        <w:spacing w:after="0" w:line="240" w:lineRule="auto"/>
        <w:jc w:val="both"/>
        <w:rPr>
          <w:rFonts w:ascii="Times New Roman" w:eastAsia="Times New Roman" w:hAnsi="Times New Roman" w:cs="Times New Roman"/>
          <w:spacing w:val="-3"/>
          <w:sz w:val="24"/>
          <w:szCs w:val="24"/>
          <w:lang w:val="de-DE" w:eastAsia="pl-PL"/>
        </w:rPr>
      </w:pPr>
    </w:p>
    <w:sectPr w:rsidR="0002500F" w:rsidSect="00AB5FBD">
      <w:headerReference w:type="default" r:id="rId33"/>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22A" w:rsidRDefault="00F0722A" w:rsidP="007E4550">
      <w:pPr>
        <w:spacing w:after="0" w:line="240" w:lineRule="auto"/>
      </w:pPr>
      <w:r>
        <w:separator/>
      </w:r>
    </w:p>
  </w:endnote>
  <w:endnote w:type="continuationSeparator" w:id="0">
    <w:p w:rsidR="00F0722A" w:rsidRDefault="00F0722A" w:rsidP="007E4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684" w:rsidRDefault="00DD168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22A" w:rsidRDefault="00F0722A" w:rsidP="007E4550">
      <w:pPr>
        <w:spacing w:after="0" w:line="240" w:lineRule="auto"/>
      </w:pPr>
      <w:r>
        <w:separator/>
      </w:r>
    </w:p>
  </w:footnote>
  <w:footnote w:type="continuationSeparator" w:id="0">
    <w:p w:rsidR="00F0722A" w:rsidRDefault="00F0722A" w:rsidP="007E4550">
      <w:pPr>
        <w:spacing w:after="0" w:line="240" w:lineRule="auto"/>
      </w:pPr>
      <w:r>
        <w:continuationSeparator/>
      </w:r>
    </w:p>
  </w:footnote>
  <w:footnote w:id="1">
    <w:p w:rsidR="00DD1684" w:rsidRPr="004023B0" w:rsidRDefault="005610CB" w:rsidP="006C1DFB">
      <w:pPr>
        <w:pStyle w:val="Tekstprzypisudolnego"/>
        <w:rPr>
          <w:rFonts w:ascii="Times New Roman" w:hAnsi="Times New Roman" w:cs="Times New Roman"/>
          <w:lang w:val="fr-FR"/>
        </w:rPr>
      </w:pPr>
      <w:r w:rsidRPr="005610CB">
        <w:rPr>
          <w:rStyle w:val="Odwoanieprzypisudolnego"/>
          <w:rFonts w:ascii="Times New Roman" w:hAnsi="Times New Roman" w:cs="Times New Roman"/>
        </w:rPr>
        <w:footnoteRef/>
      </w:r>
      <w:r w:rsidR="00DD1684" w:rsidRPr="00EC71D5">
        <w:rPr>
          <w:rFonts w:ascii="Times New Roman" w:hAnsi="Times New Roman" w:cs="Times New Roman"/>
          <w:lang w:val="fr-FR"/>
        </w:rPr>
        <w:t xml:space="preserve"> Bullettin International des Sciences Sociales, </w:t>
      </w:r>
      <w:r w:rsidR="00DD1684" w:rsidRPr="00EC71D5">
        <w:rPr>
          <w:rFonts w:ascii="Times New Roman" w:hAnsi="Times New Roman" w:cs="Times New Roman"/>
          <w:i/>
          <w:lang w:val="fr-FR"/>
        </w:rPr>
        <w:t>Education interculturelle et voyages éducatifs</w:t>
      </w:r>
      <w:r w:rsidR="00DD1684" w:rsidRPr="00EC71D5">
        <w:rPr>
          <w:rFonts w:ascii="Times New Roman" w:hAnsi="Times New Roman" w:cs="Times New Roman"/>
          <w:lang w:val="fr-FR"/>
        </w:rPr>
        <w:t>, Vol. 8, no 4, 1956</w:t>
      </w:r>
    </w:p>
  </w:footnote>
  <w:footnote w:id="2">
    <w:p w:rsidR="00DD1684" w:rsidRPr="00F04517" w:rsidRDefault="005610CB" w:rsidP="00910C0C">
      <w:pPr>
        <w:pStyle w:val="Tekstprzypisudolnego"/>
        <w:rPr>
          <w:rFonts w:ascii="Times New Roman" w:hAnsi="Times New Roman" w:cs="Times New Roman"/>
        </w:rPr>
      </w:pPr>
      <w:r w:rsidRPr="005610CB">
        <w:rPr>
          <w:rStyle w:val="Odwoanieprzypisudolnego"/>
          <w:rFonts w:ascii="Times New Roman" w:hAnsi="Times New Roman" w:cs="Times New Roman"/>
        </w:rPr>
        <w:footnoteRef/>
      </w:r>
      <w:r w:rsidR="00DD1684" w:rsidRPr="00F04517">
        <w:rPr>
          <w:rFonts w:ascii="Times New Roman" w:hAnsi="Times New Roman" w:cs="Times New Roman"/>
        </w:rPr>
        <w:t>Zobacz raport:</w:t>
      </w:r>
      <w:r w:rsidRPr="00F04517">
        <w:rPr>
          <w:rFonts w:ascii="Times New Roman" w:hAnsi="Times New Roman" w:cs="Times New Roman"/>
        </w:rPr>
        <w:t xml:space="preserve"> </w:t>
      </w:r>
      <w:r w:rsidR="00DD1684" w:rsidRPr="00EC71D5">
        <w:rPr>
          <w:rFonts w:ascii="Times New Roman" w:hAnsi="Times New Roman" w:cs="Times New Roman"/>
        </w:rPr>
        <w:t>http://europa.eu/rapid/press-release_MEMO-13-647_en.htm</w:t>
      </w:r>
      <w:r w:rsidR="00DD1684" w:rsidRPr="00F04517">
        <w:rPr>
          <w:rFonts w:ascii="Times New Roman" w:hAnsi="Times New Roman" w:cs="Times New Roman"/>
        </w:rPr>
        <w:t>,</w:t>
      </w:r>
      <w:r w:rsidR="00DD1684">
        <w:rPr>
          <w:rFonts w:ascii="Times New Roman" w:hAnsi="Times New Roman" w:cs="Times New Roman"/>
        </w:rPr>
        <w:t xml:space="preserve"> [15.03.2015].</w:t>
      </w:r>
      <w:r w:rsidRPr="00F04517">
        <w:rPr>
          <w:rFonts w:ascii="Times New Roman" w:hAnsi="Times New Roman" w:cs="Times New Roman"/>
        </w:rPr>
        <w:t xml:space="preserve"> </w:t>
      </w:r>
    </w:p>
  </w:footnote>
  <w:footnote w:id="3">
    <w:p w:rsidR="00DD1684" w:rsidRPr="00F04517" w:rsidRDefault="005610CB" w:rsidP="00F71F67">
      <w:pPr>
        <w:pStyle w:val="Tekstprzypisudolnego"/>
        <w:rPr>
          <w:rFonts w:ascii="Times New Roman" w:hAnsi="Times New Roman" w:cs="Times New Roman"/>
        </w:rPr>
      </w:pPr>
      <w:r w:rsidRPr="005610CB">
        <w:rPr>
          <w:rStyle w:val="Odwoanieprzypisudolnego"/>
          <w:rFonts w:ascii="Times New Roman" w:hAnsi="Times New Roman" w:cs="Times New Roman"/>
        </w:rPr>
        <w:footnoteRef/>
      </w:r>
      <w:r w:rsidRPr="00F04517">
        <w:rPr>
          <w:rFonts w:ascii="Times New Roman" w:hAnsi="Times New Roman" w:cs="Times New Roman"/>
        </w:rPr>
        <w:t xml:space="preserve"> </w:t>
      </w:r>
      <w:r w:rsidR="00DD1684" w:rsidRPr="00F04517">
        <w:rPr>
          <w:rFonts w:ascii="Times New Roman" w:hAnsi="Times New Roman" w:cs="Times New Roman"/>
        </w:rPr>
        <w:t xml:space="preserve">Filmik na temat projektu Erasmus+  można zobaczyć na stronie: </w:t>
      </w:r>
      <w:r w:rsidR="00DD1684" w:rsidRPr="00EC71D5">
        <w:rPr>
          <w:rFonts w:ascii="Times New Roman" w:hAnsi="Times New Roman" w:cs="Times New Roman"/>
        </w:rPr>
        <w:t>http://ec.europa.eu/education/erasmus-for-all/</w:t>
      </w:r>
      <w:r w:rsidR="00DD1684" w:rsidRPr="00F04517">
        <w:rPr>
          <w:rFonts w:ascii="Times New Roman" w:hAnsi="Times New Roman" w:cs="Times New Roman"/>
        </w:rPr>
        <w:t>,</w:t>
      </w:r>
      <w:r w:rsidR="00DD1684">
        <w:rPr>
          <w:rFonts w:ascii="Times New Roman" w:hAnsi="Times New Roman" w:cs="Times New Roman"/>
        </w:rPr>
        <w:t xml:space="preserve"> [15.03.2015].</w:t>
      </w:r>
      <w:r w:rsidR="00DD1684" w:rsidRPr="00F04517">
        <w:rPr>
          <w:rFonts w:ascii="Times New Roman" w:hAnsi="Times New Roman" w:cs="Times New Roman"/>
        </w:rPr>
        <w:t xml:space="preserve"> </w:t>
      </w:r>
    </w:p>
  </w:footnote>
  <w:footnote w:id="4">
    <w:p w:rsidR="00DD1684" w:rsidRPr="004023B0" w:rsidRDefault="00DD1684" w:rsidP="00910C0C">
      <w:pPr>
        <w:pStyle w:val="Tekstprzypisudolnego"/>
        <w:rPr>
          <w:rFonts w:ascii="Times New Roman" w:hAnsi="Times New Roman" w:cs="Times New Roman"/>
        </w:rPr>
      </w:pPr>
      <w:r w:rsidRPr="00EC71D5">
        <w:rPr>
          <w:rStyle w:val="Odwoanieprzypisudolnego"/>
          <w:rFonts w:ascii="Times New Roman" w:hAnsi="Times New Roman" w:cs="Times New Roman"/>
        </w:rPr>
        <w:footnoteRef/>
      </w:r>
      <w:r w:rsidRPr="00EC71D5">
        <w:rPr>
          <w:rFonts w:ascii="Times New Roman" w:hAnsi="Times New Roman" w:cs="Times New Roman"/>
        </w:rPr>
        <w:t xml:space="preserve"> Komunikat Komisji Europejskiej pt. </w:t>
      </w:r>
      <w:r w:rsidRPr="00EC71D5">
        <w:rPr>
          <w:rFonts w:ascii="Times New Roman" w:hAnsi="Times New Roman" w:cs="Times New Roman"/>
          <w:i/>
        </w:rPr>
        <w:t>Europejskie Szkolnictwo Wyższe na Świecie</w:t>
      </w:r>
      <w:r w:rsidRPr="00EC71D5">
        <w:rPr>
          <w:rFonts w:ascii="Times New Roman" w:hAnsi="Times New Roman" w:cs="Times New Roman"/>
        </w:rPr>
        <w:t xml:space="preserve">, COM/2013/0499 </w:t>
      </w:r>
      <w:proofErr w:type="spellStart"/>
      <w:r w:rsidRPr="00EC71D5">
        <w:rPr>
          <w:rFonts w:ascii="Times New Roman" w:hAnsi="Times New Roman" w:cs="Times New Roman"/>
        </w:rPr>
        <w:t>final</w:t>
      </w:r>
      <w:proofErr w:type="spellEnd"/>
      <w:r w:rsidRPr="00EC71D5">
        <w:rPr>
          <w:rFonts w:ascii="Times New Roman" w:hAnsi="Times New Roman" w:cs="Times New Roman"/>
        </w:rPr>
        <w:t>, http://eur-lex.europa.eu/LexUriServ/LexUriServ.do?uri=COM:2013:0499:FIN:PL:PDF</w:t>
      </w:r>
      <w:r>
        <w:rPr>
          <w:rFonts w:ascii="Times New Roman" w:hAnsi="Times New Roman" w:cs="Times New Roman"/>
        </w:rPr>
        <w:t>, [15.03.2015].</w:t>
      </w:r>
    </w:p>
  </w:footnote>
  <w:footnote w:id="5">
    <w:p w:rsidR="00DD1684" w:rsidRPr="00781361" w:rsidRDefault="00DD1684" w:rsidP="00910C0C">
      <w:pPr>
        <w:pStyle w:val="Tekstprzypisudolnego"/>
        <w:rPr>
          <w:rFonts w:ascii="Times New Roman" w:hAnsi="Times New Roman" w:cs="Times New Roman"/>
          <w:lang w:val="en-US"/>
        </w:rPr>
      </w:pPr>
      <w:r w:rsidRPr="00EC71D5">
        <w:rPr>
          <w:rStyle w:val="Odwoanieprzypisudolnego"/>
          <w:rFonts w:ascii="Times New Roman" w:hAnsi="Times New Roman" w:cs="Times New Roman"/>
        </w:rPr>
        <w:footnoteRef/>
      </w:r>
      <w:r w:rsidRPr="00781361">
        <w:rPr>
          <w:rFonts w:ascii="Times New Roman" w:hAnsi="Times New Roman" w:cs="Times New Roman"/>
          <w:lang w:val="en-US"/>
        </w:rPr>
        <w:t xml:space="preserve"> </w:t>
      </w:r>
      <w:r w:rsidR="00781361">
        <w:rPr>
          <w:rFonts w:ascii="Times New Roman" w:hAnsi="Times New Roman" w:cs="Times New Roman"/>
          <w:lang w:val="en-US"/>
        </w:rPr>
        <w:t>Joint and Double D</w:t>
      </w:r>
      <w:r w:rsidR="00781361" w:rsidRPr="00781361">
        <w:rPr>
          <w:rFonts w:ascii="Times New Roman" w:hAnsi="Times New Roman" w:cs="Times New Roman"/>
          <w:lang w:val="en-US"/>
        </w:rPr>
        <w:t xml:space="preserve">egree </w:t>
      </w:r>
      <w:r w:rsidR="00781361">
        <w:rPr>
          <w:rFonts w:ascii="Times New Roman" w:hAnsi="Times New Roman" w:cs="Times New Roman"/>
          <w:lang w:val="en-US"/>
        </w:rPr>
        <w:t xml:space="preserve">Programs in the Global Context, </w:t>
      </w:r>
      <w:r w:rsidRPr="00781361">
        <w:rPr>
          <w:rFonts w:ascii="Times New Roman" w:hAnsi="Times New Roman" w:cs="Times New Roman"/>
          <w:lang w:val="en-US"/>
        </w:rPr>
        <w:t xml:space="preserve">Institute of International Education, </w:t>
      </w:r>
      <w:r w:rsidR="00781361">
        <w:rPr>
          <w:rFonts w:ascii="Times New Roman" w:hAnsi="Times New Roman" w:cs="Times New Roman"/>
          <w:lang w:val="en-US"/>
        </w:rPr>
        <w:t xml:space="preserve">Report on an International Survey (2011), </w:t>
      </w:r>
      <w:hyperlink r:id="rId1" w:history="1">
        <w:r w:rsidR="00781361" w:rsidRPr="003B14F5">
          <w:rPr>
            <w:rStyle w:val="Hipercze"/>
            <w:rFonts w:ascii="Times New Roman" w:hAnsi="Times New Roman" w:cs="Times New Roman"/>
            <w:lang w:val="en-US"/>
          </w:rPr>
          <w:t>http://www.iie.org/EN/Research-and-Publications/Publications-and-Reports/IIE-Bookstore/Joint-Degree-Survey-Report-2011</w:t>
        </w:r>
      </w:hyperlink>
      <w:r w:rsidR="00781361">
        <w:rPr>
          <w:rFonts w:ascii="Times New Roman" w:hAnsi="Times New Roman" w:cs="Times New Roman"/>
          <w:lang w:val="en-US"/>
        </w:rPr>
        <w:t xml:space="preserve"> </w:t>
      </w:r>
      <w:r w:rsidR="004E64E6">
        <w:rPr>
          <w:rFonts w:ascii="Times New Roman" w:hAnsi="Times New Roman" w:cs="Times New Roman"/>
          <w:lang w:val="en-US"/>
        </w:rPr>
        <w:t>[15.03.2015]</w:t>
      </w:r>
    </w:p>
  </w:footnote>
  <w:footnote w:id="6">
    <w:p w:rsidR="00DD1684" w:rsidRPr="00FC1F81" w:rsidRDefault="00DD1684">
      <w:pPr>
        <w:pStyle w:val="Tekstprzypisudolnego"/>
        <w:rPr>
          <w:rFonts w:ascii="Times New Roman" w:hAnsi="Times New Roman" w:cs="Times New Roman"/>
        </w:rPr>
      </w:pPr>
      <w:r w:rsidRPr="00EC71D5">
        <w:rPr>
          <w:rStyle w:val="Odwoanieprzypisudolnego"/>
          <w:rFonts w:ascii="Times New Roman" w:hAnsi="Times New Roman" w:cs="Times New Roman"/>
        </w:rPr>
        <w:footnoteRef/>
      </w:r>
      <w:r w:rsidRPr="00FC1F81">
        <w:rPr>
          <w:rFonts w:ascii="Times New Roman" w:hAnsi="Times New Roman" w:cs="Times New Roman"/>
        </w:rPr>
        <w:t xml:space="preserve"> Zobacz: https://www.coursera.org/</w:t>
      </w:r>
    </w:p>
  </w:footnote>
  <w:footnote w:id="7">
    <w:p w:rsidR="00DD1684" w:rsidRPr="004023B0" w:rsidRDefault="00DD1684">
      <w:pPr>
        <w:pStyle w:val="Tekstprzypisudolnego"/>
        <w:rPr>
          <w:rFonts w:ascii="Times New Roman" w:hAnsi="Times New Roman" w:cs="Times New Roman"/>
        </w:rPr>
      </w:pPr>
      <w:r w:rsidRPr="00EC71D5">
        <w:rPr>
          <w:rStyle w:val="Odwoanieprzypisudolnego"/>
          <w:rFonts w:ascii="Times New Roman" w:hAnsi="Times New Roman" w:cs="Times New Roman"/>
        </w:rPr>
        <w:footnoteRef/>
      </w:r>
      <w:r w:rsidRPr="00EC71D5">
        <w:rPr>
          <w:rFonts w:ascii="Times New Roman" w:hAnsi="Times New Roman" w:cs="Times New Roman"/>
        </w:rPr>
        <w:t xml:space="preserve"> Kampus </w:t>
      </w:r>
      <w:r w:rsidRPr="00EC71D5">
        <w:rPr>
          <w:rFonts w:ascii="Times New Roman" w:hAnsi="Times New Roman" w:cs="Times New Roman"/>
          <w:i/>
        </w:rPr>
        <w:t>off-</w:t>
      </w:r>
      <w:proofErr w:type="spellStart"/>
      <w:r w:rsidRPr="00EC71D5">
        <w:rPr>
          <w:rFonts w:ascii="Times New Roman" w:hAnsi="Times New Roman" w:cs="Times New Roman"/>
          <w:i/>
        </w:rPr>
        <w:t>shore</w:t>
      </w:r>
      <w:proofErr w:type="spellEnd"/>
      <w:r w:rsidRPr="00EC71D5">
        <w:rPr>
          <w:rFonts w:ascii="Times New Roman" w:hAnsi="Times New Roman" w:cs="Times New Roman"/>
        </w:rPr>
        <w:t xml:space="preserve"> (lub </w:t>
      </w:r>
      <w:proofErr w:type="spellStart"/>
      <w:r w:rsidRPr="00EC71D5">
        <w:rPr>
          <w:rFonts w:ascii="Times New Roman" w:hAnsi="Times New Roman" w:cs="Times New Roman"/>
          <w:i/>
        </w:rPr>
        <w:t>overseas</w:t>
      </w:r>
      <w:proofErr w:type="spellEnd"/>
      <w:r w:rsidRPr="00EC71D5">
        <w:rPr>
          <w:rFonts w:ascii="Times New Roman" w:hAnsi="Times New Roman" w:cs="Times New Roman"/>
          <w:i/>
        </w:rPr>
        <w:t xml:space="preserve"> </w:t>
      </w:r>
      <w:proofErr w:type="spellStart"/>
      <w:r w:rsidRPr="00EC71D5">
        <w:rPr>
          <w:rFonts w:ascii="Times New Roman" w:hAnsi="Times New Roman" w:cs="Times New Roman"/>
          <w:i/>
        </w:rPr>
        <w:t>branch</w:t>
      </w:r>
      <w:proofErr w:type="spellEnd"/>
      <w:r w:rsidRPr="00EC71D5">
        <w:rPr>
          <w:rFonts w:ascii="Times New Roman" w:hAnsi="Times New Roman" w:cs="Times New Roman"/>
          <w:i/>
        </w:rPr>
        <w:t xml:space="preserve"> campus</w:t>
      </w:r>
      <w:r w:rsidRPr="00EC71D5">
        <w:rPr>
          <w:rFonts w:ascii="Times New Roman" w:hAnsi="Times New Roman" w:cs="Times New Roman"/>
        </w:rPr>
        <w:t>) jest to oddział zagraniczny, tworzony przez uczelnię w celu ekspansji geograficznej jej operacji poza kraj jej podstawowej działalności.</w:t>
      </w:r>
    </w:p>
  </w:footnote>
  <w:footnote w:id="8">
    <w:p w:rsidR="00DD1684" w:rsidRPr="004023B0" w:rsidRDefault="00DD1684">
      <w:pPr>
        <w:pStyle w:val="Tekstprzypisudolnego"/>
        <w:rPr>
          <w:rFonts w:ascii="Times New Roman" w:hAnsi="Times New Roman" w:cs="Times New Roman"/>
        </w:rPr>
      </w:pPr>
      <w:r w:rsidRPr="00EC71D5">
        <w:rPr>
          <w:rStyle w:val="Odwoanieprzypisudolnego"/>
          <w:rFonts w:ascii="Times New Roman" w:hAnsi="Times New Roman" w:cs="Times New Roman"/>
        </w:rPr>
        <w:footnoteRef/>
      </w:r>
      <w:r w:rsidRPr="00EC71D5">
        <w:rPr>
          <w:rFonts w:ascii="Times New Roman" w:hAnsi="Times New Roman" w:cs="Times New Roman"/>
        </w:rPr>
        <w:t xml:space="preserve"> </w:t>
      </w:r>
      <w:r>
        <w:rPr>
          <w:rFonts w:ascii="Times New Roman" w:hAnsi="Times New Roman" w:cs="Times New Roman"/>
        </w:rPr>
        <w:t xml:space="preserve">Lista kampusów dostępna jest na stronie: </w:t>
      </w:r>
      <w:hyperlink r:id="rId2" w:history="1">
        <w:r w:rsidR="004E64E6" w:rsidRPr="003B14F5">
          <w:rPr>
            <w:rStyle w:val="Hipercze"/>
            <w:rFonts w:ascii="Times New Roman" w:hAnsi="Times New Roman" w:cs="Times New Roman"/>
          </w:rPr>
          <w:t>http://www.globalhighered.org/branchcampuses.php</w:t>
        </w:r>
      </w:hyperlink>
      <w:r>
        <w:rPr>
          <w:rFonts w:ascii="Times New Roman" w:hAnsi="Times New Roman" w:cs="Times New Roman"/>
        </w:rPr>
        <w:t>.</w:t>
      </w:r>
      <w:r w:rsidR="004E64E6">
        <w:rPr>
          <w:rFonts w:ascii="Times New Roman" w:hAnsi="Times New Roman" w:cs="Times New Roman"/>
        </w:rPr>
        <w:t xml:space="preserve"> [10.11.2014]</w:t>
      </w:r>
    </w:p>
  </w:footnote>
  <w:footnote w:id="9">
    <w:p w:rsidR="00DD1684" w:rsidRPr="004023B0" w:rsidRDefault="00DD1684">
      <w:pPr>
        <w:pStyle w:val="Tekstprzypisudolnego"/>
        <w:rPr>
          <w:rFonts w:ascii="Times New Roman" w:hAnsi="Times New Roman" w:cs="Times New Roman"/>
        </w:rPr>
      </w:pPr>
      <w:r w:rsidRPr="00EC71D5">
        <w:rPr>
          <w:rStyle w:val="Odwoanieprzypisudolnego"/>
          <w:rFonts w:ascii="Times New Roman" w:hAnsi="Times New Roman" w:cs="Times New Roman"/>
        </w:rPr>
        <w:footnoteRef/>
      </w:r>
      <w:r w:rsidRPr="00EC71D5">
        <w:rPr>
          <w:rFonts w:ascii="Times New Roman" w:hAnsi="Times New Roman" w:cs="Times New Roman"/>
        </w:rPr>
        <w:t xml:space="preserve"> </w:t>
      </w:r>
      <w:hyperlink r:id="rId3" w:history="1">
        <w:r w:rsidR="009E3A50" w:rsidRPr="003B14F5">
          <w:rPr>
            <w:rStyle w:val="Hipercze"/>
            <w:rFonts w:ascii="Times New Roman" w:hAnsi="Times New Roman" w:cs="Times New Roman"/>
          </w:rPr>
          <w:t>http://www.dfat.gov.au/about-us/publications/Pages/trade-in-services-australia.aspx</w:t>
        </w:r>
      </w:hyperlink>
      <w:r w:rsidR="009E3A50">
        <w:rPr>
          <w:rFonts w:ascii="Times New Roman" w:hAnsi="Times New Roman" w:cs="Times New Roman"/>
        </w:rPr>
        <w:t xml:space="preserve"> </w:t>
      </w:r>
      <w:r w:rsidR="004E64E6">
        <w:rPr>
          <w:rFonts w:ascii="Times New Roman" w:hAnsi="Times New Roman" w:cs="Times New Roman"/>
        </w:rPr>
        <w:t>[15.03.2015]</w:t>
      </w:r>
    </w:p>
  </w:footnote>
  <w:footnote w:id="10">
    <w:p w:rsidR="00DD1684" w:rsidRPr="004023B0" w:rsidRDefault="005610CB" w:rsidP="00762F70">
      <w:pPr>
        <w:pStyle w:val="Tekstprzypisudolnego"/>
        <w:rPr>
          <w:rFonts w:ascii="Times New Roman" w:hAnsi="Times New Roman" w:cs="Times New Roman"/>
          <w:lang w:val="en-US"/>
        </w:rPr>
      </w:pPr>
      <w:r w:rsidRPr="005610CB">
        <w:rPr>
          <w:rStyle w:val="Odwoanieprzypisudolnego"/>
          <w:rFonts w:ascii="Times New Roman" w:hAnsi="Times New Roman" w:cs="Times New Roman"/>
        </w:rPr>
        <w:footnoteRef/>
      </w:r>
      <w:r w:rsidRPr="005610CB">
        <w:rPr>
          <w:rFonts w:ascii="Times New Roman" w:hAnsi="Times New Roman" w:cs="Times New Roman"/>
          <w:lang w:val="en-US"/>
        </w:rPr>
        <w:t xml:space="preserve"> </w:t>
      </w:r>
      <w:r w:rsidR="00DD1684" w:rsidRPr="00EC71D5">
        <w:rPr>
          <w:rFonts w:ascii="Times New Roman" w:hAnsi="Times New Roman" w:cs="Times New Roman"/>
          <w:lang w:val="en-US"/>
        </w:rPr>
        <w:t>R.</w:t>
      </w:r>
      <w:r w:rsidR="00DD1684">
        <w:rPr>
          <w:rFonts w:ascii="Times New Roman" w:hAnsi="Times New Roman" w:cs="Times New Roman"/>
          <w:lang w:val="en-US"/>
        </w:rPr>
        <w:t xml:space="preserve"> </w:t>
      </w:r>
      <w:proofErr w:type="spellStart"/>
      <w:r w:rsidRPr="005610CB">
        <w:rPr>
          <w:rFonts w:ascii="Times New Roman" w:hAnsi="Times New Roman" w:cs="Times New Roman"/>
          <w:lang w:val="en-US"/>
        </w:rPr>
        <w:t>Proulx</w:t>
      </w:r>
      <w:proofErr w:type="spellEnd"/>
      <w:r w:rsidRPr="005610CB">
        <w:rPr>
          <w:rFonts w:ascii="Times New Roman" w:hAnsi="Times New Roman" w:cs="Times New Roman"/>
          <w:lang w:val="en-US"/>
        </w:rPr>
        <w:t xml:space="preserve">, </w:t>
      </w:r>
      <w:r w:rsidRPr="005610CB">
        <w:rPr>
          <w:rFonts w:ascii="Times New Roman" w:hAnsi="Times New Roman" w:cs="Times New Roman"/>
          <w:i/>
          <w:lang w:val="en-US"/>
        </w:rPr>
        <w:t>Higher Education Ranking and Leagues Tables: Lessons Learned from Benchmarking</w:t>
      </w:r>
      <w:r w:rsidR="00DD1684">
        <w:rPr>
          <w:rFonts w:ascii="Times New Roman" w:hAnsi="Times New Roman" w:cs="Times New Roman"/>
          <w:lang w:val="en-US"/>
        </w:rPr>
        <w:t>,</w:t>
      </w:r>
      <w:r w:rsidRPr="005610CB">
        <w:rPr>
          <w:rFonts w:ascii="Times New Roman" w:hAnsi="Times New Roman" w:cs="Times New Roman"/>
          <w:lang w:val="en-US"/>
        </w:rPr>
        <w:t xml:space="preserve"> </w:t>
      </w:r>
      <w:r w:rsidR="00DD1684" w:rsidRPr="0023611F">
        <w:rPr>
          <w:rFonts w:ascii="Times New Roman" w:hAnsi="Times New Roman" w:cs="Times New Roman"/>
          <w:sz w:val="24"/>
          <w:szCs w:val="24"/>
          <w:lang w:val="en-US"/>
        </w:rPr>
        <w:t>„</w:t>
      </w:r>
      <w:r w:rsidRPr="005610CB">
        <w:rPr>
          <w:rFonts w:ascii="Times New Roman" w:hAnsi="Times New Roman" w:cs="Times New Roman"/>
          <w:lang w:val="en-US"/>
        </w:rPr>
        <w:t>Higher Education in Europe</w:t>
      </w:r>
      <w:r w:rsidR="00DD1684">
        <w:rPr>
          <w:rFonts w:ascii="Times New Roman" w:hAnsi="Times New Roman" w:cs="Times New Roman"/>
          <w:lang w:val="en-US"/>
        </w:rPr>
        <w:t>” 2007, nr</w:t>
      </w:r>
      <w:r w:rsidRPr="005610CB">
        <w:rPr>
          <w:rFonts w:ascii="Times New Roman" w:hAnsi="Times New Roman" w:cs="Times New Roman"/>
          <w:lang w:val="en-US"/>
        </w:rPr>
        <w:t xml:space="preserve"> 32 (1); </w:t>
      </w:r>
      <w:r w:rsidR="00DD1684" w:rsidRPr="00EC71D5">
        <w:rPr>
          <w:rFonts w:ascii="Times New Roman" w:hAnsi="Times New Roman" w:cs="Times New Roman"/>
          <w:lang w:val="en-US"/>
        </w:rPr>
        <w:t>D.</w:t>
      </w:r>
      <w:r w:rsidR="00DD1684">
        <w:rPr>
          <w:rFonts w:ascii="Times New Roman" w:hAnsi="Times New Roman" w:cs="Times New Roman"/>
          <w:lang w:val="en-US"/>
        </w:rPr>
        <w:t xml:space="preserve"> </w:t>
      </w:r>
      <w:r w:rsidRPr="005610CB">
        <w:rPr>
          <w:rFonts w:ascii="Times New Roman" w:hAnsi="Times New Roman" w:cs="Times New Roman"/>
          <w:lang w:val="en-US"/>
        </w:rPr>
        <w:t xml:space="preserve">Harvey, </w:t>
      </w:r>
      <w:r w:rsidRPr="005610CB">
        <w:rPr>
          <w:rFonts w:ascii="Times New Roman" w:hAnsi="Times New Roman" w:cs="Times New Roman"/>
          <w:i/>
          <w:lang w:val="en-US"/>
        </w:rPr>
        <w:t>The New Imperialism</w:t>
      </w:r>
      <w:r w:rsidR="00DD1684">
        <w:rPr>
          <w:rFonts w:ascii="Times New Roman" w:hAnsi="Times New Roman" w:cs="Times New Roman"/>
          <w:lang w:val="en-US"/>
        </w:rPr>
        <w:t>,</w:t>
      </w:r>
      <w:r w:rsidRPr="005610CB">
        <w:rPr>
          <w:rFonts w:ascii="Times New Roman" w:hAnsi="Times New Roman" w:cs="Times New Roman"/>
          <w:lang w:val="en-US"/>
        </w:rPr>
        <w:t xml:space="preserve"> </w:t>
      </w:r>
      <w:r w:rsidR="00DD1684" w:rsidRPr="00EC71D5">
        <w:rPr>
          <w:rFonts w:ascii="Times New Roman" w:hAnsi="Times New Roman" w:cs="Times New Roman"/>
          <w:lang w:val="en-US"/>
        </w:rPr>
        <w:t>Oxford University Press</w:t>
      </w:r>
      <w:r w:rsidR="00DD1684">
        <w:rPr>
          <w:rFonts w:ascii="Times New Roman" w:hAnsi="Times New Roman" w:cs="Times New Roman"/>
          <w:lang w:val="en-US"/>
        </w:rPr>
        <w:t>,</w:t>
      </w:r>
      <w:r w:rsidR="00DD1684" w:rsidRPr="00EC71D5">
        <w:rPr>
          <w:rFonts w:ascii="Times New Roman" w:hAnsi="Times New Roman" w:cs="Times New Roman"/>
          <w:lang w:val="en-US"/>
        </w:rPr>
        <w:t xml:space="preserve"> </w:t>
      </w:r>
      <w:r w:rsidRPr="005610CB">
        <w:rPr>
          <w:rFonts w:ascii="Times New Roman" w:hAnsi="Times New Roman" w:cs="Times New Roman"/>
          <w:lang w:val="en-US"/>
        </w:rPr>
        <w:t>Oxford 2003.</w:t>
      </w:r>
    </w:p>
  </w:footnote>
  <w:footnote w:id="11">
    <w:p w:rsidR="00DD1684" w:rsidRPr="004023B0" w:rsidRDefault="005610CB" w:rsidP="00130552">
      <w:pPr>
        <w:pStyle w:val="Tekstprzypisudolnego"/>
        <w:rPr>
          <w:rFonts w:ascii="Times New Roman" w:hAnsi="Times New Roman" w:cs="Times New Roman"/>
        </w:rPr>
      </w:pPr>
      <w:r w:rsidRPr="005610CB">
        <w:rPr>
          <w:rStyle w:val="Odwoanieprzypisudolnego"/>
          <w:rFonts w:ascii="Times New Roman" w:hAnsi="Times New Roman" w:cs="Times New Roman"/>
        </w:rPr>
        <w:footnoteRef/>
      </w:r>
      <w:r w:rsidRPr="005610CB">
        <w:rPr>
          <w:rFonts w:ascii="Times New Roman" w:hAnsi="Times New Roman" w:cs="Times New Roman"/>
        </w:rPr>
        <w:t xml:space="preserve"> </w:t>
      </w:r>
      <w:r w:rsidR="00DD1684" w:rsidRPr="00EC71D5">
        <w:rPr>
          <w:rFonts w:ascii="Times New Roman" w:hAnsi="Times New Roman" w:cs="Times New Roman"/>
        </w:rPr>
        <w:t>A.</w:t>
      </w:r>
      <w:r w:rsidR="00DD1684">
        <w:rPr>
          <w:rFonts w:ascii="Times New Roman" w:hAnsi="Times New Roman" w:cs="Times New Roman"/>
        </w:rPr>
        <w:t xml:space="preserve"> </w:t>
      </w:r>
      <w:proofErr w:type="spellStart"/>
      <w:r w:rsidRPr="005610CB">
        <w:rPr>
          <w:rFonts w:ascii="Times New Roman" w:hAnsi="Times New Roman" w:cs="Times New Roman"/>
        </w:rPr>
        <w:t>Olechnicka</w:t>
      </w:r>
      <w:proofErr w:type="spellEnd"/>
      <w:r w:rsidRPr="005610CB">
        <w:rPr>
          <w:rFonts w:ascii="Times New Roman" w:hAnsi="Times New Roman" w:cs="Times New Roman"/>
        </w:rPr>
        <w:t xml:space="preserve">, </w:t>
      </w:r>
      <w:r w:rsidR="00DD1684" w:rsidRPr="00EC71D5">
        <w:rPr>
          <w:rFonts w:ascii="Times New Roman" w:hAnsi="Times New Roman" w:cs="Times New Roman"/>
        </w:rPr>
        <w:t>A.</w:t>
      </w:r>
      <w:r w:rsidR="00DD1684">
        <w:rPr>
          <w:rFonts w:ascii="Times New Roman" w:hAnsi="Times New Roman" w:cs="Times New Roman"/>
        </w:rPr>
        <w:t xml:space="preserve"> </w:t>
      </w:r>
      <w:r w:rsidRPr="005610CB">
        <w:rPr>
          <w:rFonts w:ascii="Times New Roman" w:hAnsi="Times New Roman" w:cs="Times New Roman"/>
        </w:rPr>
        <w:t xml:space="preserve">Płoszaj, </w:t>
      </w:r>
      <w:r w:rsidR="00DD1684" w:rsidRPr="00EC71D5">
        <w:rPr>
          <w:rFonts w:ascii="Times New Roman" w:hAnsi="Times New Roman" w:cs="Times New Roman"/>
        </w:rPr>
        <w:t>A.</w:t>
      </w:r>
      <w:r w:rsidR="00DD1684">
        <w:rPr>
          <w:rFonts w:ascii="Times New Roman" w:hAnsi="Times New Roman" w:cs="Times New Roman"/>
        </w:rPr>
        <w:t xml:space="preserve"> </w:t>
      </w:r>
      <w:r w:rsidRPr="005610CB">
        <w:rPr>
          <w:rFonts w:ascii="Times New Roman" w:hAnsi="Times New Roman" w:cs="Times New Roman"/>
        </w:rPr>
        <w:t xml:space="preserve">Pander, </w:t>
      </w:r>
      <w:r w:rsidR="00DD1684" w:rsidRPr="00EC71D5">
        <w:rPr>
          <w:rFonts w:ascii="Times New Roman" w:hAnsi="Times New Roman" w:cs="Times New Roman"/>
        </w:rPr>
        <w:t>K.</w:t>
      </w:r>
      <w:r w:rsidR="00DD1684">
        <w:rPr>
          <w:rFonts w:ascii="Times New Roman" w:hAnsi="Times New Roman" w:cs="Times New Roman"/>
        </w:rPr>
        <w:t xml:space="preserve"> </w:t>
      </w:r>
      <w:r w:rsidRPr="005610CB">
        <w:rPr>
          <w:rFonts w:ascii="Times New Roman" w:hAnsi="Times New Roman" w:cs="Times New Roman"/>
        </w:rPr>
        <w:t xml:space="preserve">Wojnar, </w:t>
      </w:r>
      <w:r w:rsidRPr="005610CB">
        <w:rPr>
          <w:rFonts w:ascii="Times New Roman" w:hAnsi="Times New Roman" w:cs="Times New Roman"/>
          <w:i/>
        </w:rPr>
        <w:t>Analiza strategii, modeli działania oraz ścieżek ewolucji wiodących szkół wyższych na świecie</w:t>
      </w:r>
      <w:r w:rsidRPr="005610CB">
        <w:rPr>
          <w:rFonts w:ascii="Times New Roman" w:hAnsi="Times New Roman" w:cs="Times New Roman"/>
        </w:rPr>
        <w:t xml:space="preserve">, Raport z badania dla </w:t>
      </w:r>
      <w:r w:rsidR="00DD1684">
        <w:rPr>
          <w:rFonts w:ascii="Times New Roman" w:hAnsi="Times New Roman" w:cs="Times New Roman"/>
        </w:rPr>
        <w:t>p</w:t>
      </w:r>
      <w:r w:rsidRPr="005610CB">
        <w:rPr>
          <w:rFonts w:ascii="Times New Roman" w:hAnsi="Times New Roman" w:cs="Times New Roman"/>
        </w:rPr>
        <w:t>rojekt</w:t>
      </w:r>
      <w:r w:rsidR="00DD1684">
        <w:rPr>
          <w:rFonts w:ascii="Times New Roman" w:hAnsi="Times New Roman" w:cs="Times New Roman"/>
        </w:rPr>
        <w:t>u</w:t>
      </w:r>
      <w:r w:rsidRPr="005610CB">
        <w:rPr>
          <w:rFonts w:ascii="Times New Roman" w:hAnsi="Times New Roman" w:cs="Times New Roman"/>
        </w:rPr>
        <w:t xml:space="preserve"> </w:t>
      </w:r>
      <w:r w:rsidRPr="005610CB">
        <w:rPr>
          <w:rFonts w:ascii="Times New Roman" w:hAnsi="Times New Roman" w:cs="Times New Roman"/>
          <w:i/>
        </w:rPr>
        <w:t>Foresight regionalny dla szkół wyższych Warszawy i Mazowsz</w:t>
      </w:r>
      <w:r w:rsidRPr="005610CB">
        <w:rPr>
          <w:rFonts w:ascii="Times New Roman" w:hAnsi="Times New Roman" w:cs="Times New Roman"/>
        </w:rPr>
        <w:t>a, Akademickie Mazowsze 2030, Warszawa 2010</w:t>
      </w:r>
      <w:r w:rsidR="00DD1684">
        <w:rPr>
          <w:rFonts w:ascii="Times New Roman" w:hAnsi="Times New Roman" w:cs="Times New Roman"/>
        </w:rPr>
        <w:t>.</w:t>
      </w:r>
    </w:p>
  </w:footnote>
  <w:footnote w:id="12">
    <w:p w:rsidR="00DD1684" w:rsidRPr="004023B0" w:rsidRDefault="005610CB">
      <w:pPr>
        <w:pStyle w:val="Tekstprzypisudolnego"/>
        <w:rPr>
          <w:rFonts w:ascii="Times New Roman" w:hAnsi="Times New Roman" w:cs="Times New Roman"/>
        </w:rPr>
      </w:pPr>
      <w:r w:rsidRPr="005610CB">
        <w:rPr>
          <w:rStyle w:val="Odwoanieprzypisudolnego"/>
          <w:rFonts w:ascii="Times New Roman" w:hAnsi="Times New Roman" w:cs="Times New Roman"/>
        </w:rPr>
        <w:footnoteRef/>
      </w:r>
      <w:r w:rsidRPr="005610CB">
        <w:rPr>
          <w:rFonts w:ascii="Times New Roman" w:hAnsi="Times New Roman" w:cs="Times New Roman"/>
        </w:rPr>
        <w:t xml:space="preserve"> </w:t>
      </w:r>
      <w:r w:rsidR="00DD1684">
        <w:rPr>
          <w:rFonts w:ascii="Times New Roman" w:hAnsi="Times New Roman" w:cs="Times New Roman"/>
        </w:rPr>
        <w:t xml:space="preserve">Zobacz: </w:t>
      </w:r>
      <w:hyperlink r:id="rId4" w:history="1">
        <w:r w:rsidR="004E64E6" w:rsidRPr="003B14F5">
          <w:rPr>
            <w:rStyle w:val="Hipercze"/>
            <w:rFonts w:ascii="Times New Roman" w:hAnsi="Times New Roman" w:cs="Times New Roman"/>
          </w:rPr>
          <w:t>http://rankings.ft.com/businessschoolrankings/</w:t>
        </w:r>
      </w:hyperlink>
      <w:r w:rsidR="004E64E6">
        <w:rPr>
          <w:rFonts w:ascii="Times New Roman" w:hAnsi="Times New Roman" w:cs="Times New Roman"/>
        </w:rPr>
        <w:t xml:space="preserve"> [15.03.2015]</w:t>
      </w:r>
    </w:p>
  </w:footnote>
  <w:footnote w:id="13">
    <w:p w:rsidR="00DD1684" w:rsidRPr="00D561A7" w:rsidRDefault="005610CB" w:rsidP="00BA1EB7">
      <w:pPr>
        <w:pStyle w:val="Tekstprzypisudolnego"/>
        <w:rPr>
          <w:rFonts w:ascii="Times New Roman" w:hAnsi="Times New Roman" w:cs="Times New Roman"/>
          <w:lang w:val="en-US"/>
        </w:rPr>
      </w:pPr>
      <w:r w:rsidRPr="005610CB">
        <w:rPr>
          <w:rStyle w:val="Odwoanieprzypisudolnego"/>
          <w:rFonts w:ascii="Times New Roman" w:hAnsi="Times New Roman" w:cs="Times New Roman"/>
        </w:rPr>
        <w:footnoteRef/>
      </w:r>
      <w:r w:rsidRPr="005610CB">
        <w:rPr>
          <w:rFonts w:ascii="Times New Roman" w:hAnsi="Times New Roman" w:cs="Times New Roman"/>
          <w:lang w:val="en-US"/>
        </w:rPr>
        <w:t xml:space="preserve"> </w:t>
      </w:r>
      <w:r w:rsidR="00DD1684" w:rsidRPr="00EC71D5">
        <w:rPr>
          <w:rFonts w:ascii="Times New Roman" w:hAnsi="Times New Roman" w:cs="Times New Roman"/>
          <w:lang w:val="en-US"/>
        </w:rPr>
        <w:t xml:space="preserve">K. </w:t>
      </w:r>
      <w:r w:rsidRPr="005610CB">
        <w:rPr>
          <w:rFonts w:ascii="Times New Roman" w:hAnsi="Times New Roman" w:cs="Times New Roman"/>
          <w:lang w:val="en-US"/>
        </w:rPr>
        <w:t>Carey</w:t>
      </w:r>
      <w:r w:rsidR="00DD1684">
        <w:rPr>
          <w:rFonts w:ascii="Times New Roman" w:hAnsi="Times New Roman" w:cs="Times New Roman"/>
          <w:lang w:val="en-US"/>
        </w:rPr>
        <w:t>,</w:t>
      </w:r>
      <w:r w:rsidRPr="005610CB">
        <w:rPr>
          <w:rFonts w:ascii="Times New Roman" w:hAnsi="Times New Roman" w:cs="Times New Roman"/>
          <w:lang w:val="en-US"/>
        </w:rPr>
        <w:t xml:space="preserve"> </w:t>
      </w:r>
      <w:r w:rsidRPr="005610CB">
        <w:rPr>
          <w:rFonts w:ascii="Times New Roman" w:hAnsi="Times New Roman" w:cs="Times New Roman"/>
          <w:i/>
          <w:lang w:val="en-US"/>
        </w:rPr>
        <w:t>College rankings reformed: the case for a new order in higher education</w:t>
      </w:r>
      <w:r w:rsidRPr="005610CB">
        <w:rPr>
          <w:rFonts w:ascii="Times New Roman" w:hAnsi="Times New Roman" w:cs="Times New Roman"/>
          <w:lang w:val="en-US"/>
        </w:rPr>
        <w:t>, Education Sector Reports no. 19</w:t>
      </w:r>
      <w:r w:rsidR="00DD1684">
        <w:rPr>
          <w:rFonts w:ascii="Times New Roman" w:hAnsi="Times New Roman" w:cs="Times New Roman"/>
          <w:lang w:val="en-US"/>
        </w:rPr>
        <w:t xml:space="preserve">, </w:t>
      </w:r>
      <w:r w:rsidRPr="005610CB">
        <w:rPr>
          <w:rFonts w:ascii="Times New Roman" w:hAnsi="Times New Roman" w:cs="Times New Roman"/>
          <w:lang w:val="en-US"/>
        </w:rPr>
        <w:t>Washington</w:t>
      </w:r>
      <w:r w:rsidR="00DD1684">
        <w:rPr>
          <w:rFonts w:ascii="Times New Roman" w:hAnsi="Times New Roman" w:cs="Times New Roman"/>
          <w:lang w:val="en-US"/>
        </w:rPr>
        <w:t xml:space="preserve"> 2009</w:t>
      </w:r>
      <w:r w:rsidRPr="005610CB">
        <w:rPr>
          <w:rFonts w:ascii="Times New Roman" w:hAnsi="Times New Roman" w:cs="Times New Roman"/>
          <w:lang w:val="en-US"/>
        </w:rPr>
        <w:t xml:space="preserve">. </w:t>
      </w:r>
      <w:r w:rsidRPr="00D561A7">
        <w:rPr>
          <w:rFonts w:ascii="Times New Roman" w:hAnsi="Times New Roman" w:cs="Times New Roman"/>
          <w:lang w:val="en-US"/>
        </w:rPr>
        <w:t>http://www.educationsector.org/research/research_show.htm?doc_id=404230</w:t>
      </w:r>
      <w:r w:rsidR="00DD1684" w:rsidRPr="00D561A7">
        <w:rPr>
          <w:rFonts w:ascii="Times New Roman" w:hAnsi="Times New Roman" w:cs="Times New Roman"/>
          <w:lang w:val="en-US"/>
        </w:rPr>
        <w:t>, [15.03.2015].</w:t>
      </w:r>
      <w:r w:rsidRPr="00D561A7">
        <w:rPr>
          <w:rFonts w:ascii="Times New Roman" w:hAnsi="Times New Roman" w:cs="Times New Roman"/>
          <w:lang w:val="en-US"/>
        </w:rPr>
        <w:t xml:space="preserve"> </w:t>
      </w:r>
    </w:p>
  </w:footnote>
  <w:footnote w:id="14">
    <w:p w:rsidR="00DD1684" w:rsidRPr="004023B0" w:rsidRDefault="005610CB">
      <w:pPr>
        <w:pStyle w:val="Tekstprzypisudolnego"/>
        <w:rPr>
          <w:rFonts w:ascii="Times New Roman" w:hAnsi="Times New Roman" w:cs="Times New Roman"/>
        </w:rPr>
      </w:pPr>
      <w:r w:rsidRPr="005610CB">
        <w:rPr>
          <w:rStyle w:val="Odwoanieprzypisudolnego"/>
          <w:rFonts w:ascii="Times New Roman" w:hAnsi="Times New Roman" w:cs="Times New Roman"/>
        </w:rPr>
        <w:footnoteRef/>
      </w:r>
      <w:r w:rsidRPr="005610CB">
        <w:rPr>
          <w:rFonts w:ascii="Times New Roman" w:hAnsi="Times New Roman" w:cs="Times New Roman"/>
        </w:rPr>
        <w:t xml:space="preserve"> M. Boni, K. Szafraniec, P. Arak, </w:t>
      </w:r>
      <w:r w:rsidR="00DD1684" w:rsidRPr="00DD1684">
        <w:rPr>
          <w:rFonts w:ascii="Times New Roman" w:hAnsi="Times New Roman" w:cs="Times New Roman"/>
          <w:i/>
        </w:rPr>
        <w:t>Młodzi 2011</w:t>
      </w:r>
      <w:r w:rsidR="00DD1684">
        <w:rPr>
          <w:rFonts w:ascii="Times New Roman" w:hAnsi="Times New Roman" w:cs="Times New Roman"/>
        </w:rPr>
        <w:t xml:space="preserve">, </w:t>
      </w:r>
      <w:r w:rsidR="00F701D2">
        <w:rPr>
          <w:rFonts w:ascii="Times New Roman" w:hAnsi="Times New Roman" w:cs="Times New Roman"/>
        </w:rPr>
        <w:t>Kancelaria Prezesa R</w:t>
      </w:r>
      <w:r w:rsidRPr="005610CB">
        <w:rPr>
          <w:rFonts w:ascii="Times New Roman" w:hAnsi="Times New Roman" w:cs="Times New Roman"/>
        </w:rPr>
        <w:t>ady Ministrów, Warszawa 2011</w:t>
      </w:r>
      <w:r w:rsidR="00DD1684">
        <w:rPr>
          <w:rFonts w:ascii="Times New Roman" w:hAnsi="Times New Roman" w:cs="Times New Roman"/>
        </w:rPr>
        <w:t>.</w:t>
      </w:r>
    </w:p>
  </w:footnote>
  <w:footnote w:id="15">
    <w:p w:rsidR="00DD1684" w:rsidRPr="004023B0" w:rsidRDefault="005610CB">
      <w:pPr>
        <w:pStyle w:val="Tekstprzypisudolnego"/>
        <w:rPr>
          <w:rFonts w:ascii="Times New Roman" w:hAnsi="Times New Roman" w:cs="Times New Roman"/>
        </w:rPr>
      </w:pPr>
      <w:r w:rsidRPr="005610CB">
        <w:rPr>
          <w:rStyle w:val="Odwoanieprzypisudolnego"/>
          <w:rFonts w:ascii="Times New Roman" w:hAnsi="Times New Roman" w:cs="Times New Roman"/>
        </w:rPr>
        <w:footnoteRef/>
      </w:r>
      <w:r w:rsidRPr="005610CB">
        <w:rPr>
          <w:rFonts w:ascii="Times New Roman" w:hAnsi="Times New Roman" w:cs="Times New Roman"/>
        </w:rPr>
        <w:t xml:space="preserve"> </w:t>
      </w:r>
      <w:proofErr w:type="spellStart"/>
      <w:r w:rsidRPr="005610CB">
        <w:rPr>
          <w:rFonts w:ascii="Times New Roman" w:hAnsi="Times New Roman" w:cs="Times New Roman"/>
        </w:rPr>
        <w:t>Study</w:t>
      </w:r>
      <w:proofErr w:type="spellEnd"/>
      <w:r w:rsidRPr="005610CB">
        <w:rPr>
          <w:rFonts w:ascii="Times New Roman" w:hAnsi="Times New Roman" w:cs="Times New Roman"/>
        </w:rPr>
        <w:t xml:space="preserve"> in Poland, </w:t>
      </w:r>
      <w:r w:rsidRPr="005610CB">
        <w:rPr>
          <w:rFonts w:ascii="Times New Roman" w:hAnsi="Times New Roman" w:cs="Times New Roman"/>
          <w:i/>
        </w:rPr>
        <w:t>Studenci Zagraniczni w Polsce 2014</w:t>
      </w:r>
      <w:r w:rsidRPr="005610CB">
        <w:rPr>
          <w:rFonts w:ascii="Times New Roman" w:hAnsi="Times New Roman" w:cs="Times New Roman"/>
        </w:rPr>
        <w:t>, Fundacja Edukacyjna Perspektywy, październik 2014</w:t>
      </w:r>
      <w:r w:rsidR="009B7EED" w:rsidRPr="009B7EED">
        <w:rPr>
          <w:rFonts w:ascii="Times New Roman" w:hAnsi="Times New Roman" w:cs="Times New Roman"/>
        </w:rPr>
        <w:t>.</w:t>
      </w:r>
    </w:p>
  </w:footnote>
  <w:footnote w:id="16">
    <w:p w:rsidR="00DD1684" w:rsidRPr="00895EB7" w:rsidRDefault="005610CB">
      <w:pPr>
        <w:pStyle w:val="Tekstprzypisudolnego"/>
        <w:rPr>
          <w:rFonts w:ascii="Times New Roman" w:hAnsi="Times New Roman" w:cs="Times New Roman"/>
        </w:rPr>
      </w:pPr>
      <w:r w:rsidRPr="005610CB">
        <w:rPr>
          <w:rStyle w:val="Odwoanieprzypisudolnego"/>
          <w:rFonts w:ascii="Times New Roman" w:hAnsi="Times New Roman" w:cs="Times New Roman"/>
        </w:rPr>
        <w:footnoteRef/>
      </w:r>
      <w:r w:rsidRPr="005610CB">
        <w:rPr>
          <w:rFonts w:ascii="Times New Roman" w:hAnsi="Times New Roman" w:cs="Times New Roman"/>
        </w:rPr>
        <w:t xml:space="preserve"> </w:t>
      </w:r>
      <w:r w:rsidR="00895EB7" w:rsidRPr="00895EB7">
        <w:rPr>
          <w:rFonts w:ascii="Times New Roman" w:hAnsi="Times New Roman" w:cs="Times New Roman"/>
        </w:rPr>
        <w:t xml:space="preserve">Zobacz: </w:t>
      </w:r>
      <w:r w:rsidRPr="005610CB">
        <w:rPr>
          <w:rFonts w:ascii="Times New Roman" w:hAnsi="Times New Roman" w:cs="Times New Roman"/>
        </w:rPr>
        <w:t>http://www.shanghairanking.com/FieldSCI2013.html</w:t>
      </w:r>
      <w:r w:rsidR="00665452">
        <w:rPr>
          <w:rFonts w:ascii="Times New Roman" w:hAnsi="Times New Roman" w:cs="Times New Roman"/>
        </w:rPr>
        <w:t>, [15.03.2015].</w:t>
      </w:r>
    </w:p>
  </w:footnote>
  <w:footnote w:id="17">
    <w:p w:rsidR="00DD1684" w:rsidRPr="004023B0" w:rsidRDefault="005610CB">
      <w:pPr>
        <w:pStyle w:val="Tekstprzypisudolnego"/>
        <w:rPr>
          <w:rFonts w:ascii="Times New Roman" w:hAnsi="Times New Roman" w:cs="Times New Roman"/>
        </w:rPr>
      </w:pPr>
      <w:r w:rsidRPr="005610CB">
        <w:rPr>
          <w:rStyle w:val="Odwoanieprzypisudolnego"/>
          <w:rFonts w:ascii="Times New Roman" w:hAnsi="Times New Roman" w:cs="Times New Roman"/>
        </w:rPr>
        <w:footnoteRef/>
      </w:r>
      <w:r w:rsidRPr="005610CB">
        <w:rPr>
          <w:rFonts w:ascii="Times New Roman" w:hAnsi="Times New Roman" w:cs="Times New Roman"/>
        </w:rPr>
        <w:t xml:space="preserve"> Instytut Sokrates, </w:t>
      </w:r>
      <w:r w:rsidRPr="005610CB">
        <w:rPr>
          <w:rFonts w:ascii="Times New Roman" w:hAnsi="Times New Roman" w:cs="Times New Roman"/>
          <w:i/>
        </w:rPr>
        <w:t>Demograficzne Tsunami</w:t>
      </w:r>
      <w:r w:rsidRPr="005610CB">
        <w:rPr>
          <w:rFonts w:ascii="Times New Roman" w:hAnsi="Times New Roman" w:cs="Times New Roman"/>
        </w:rPr>
        <w:t>, Raport na temat wpływu zmian demograficznych na szkolnictwo wyższe do 2020 r., Warszawa 2011, s. 7.</w:t>
      </w:r>
    </w:p>
  </w:footnote>
  <w:footnote w:id="18">
    <w:p w:rsidR="00DD1684" w:rsidRPr="004023B0" w:rsidRDefault="005610CB">
      <w:pPr>
        <w:pStyle w:val="Tekstprzypisudolnego"/>
        <w:rPr>
          <w:rFonts w:ascii="Times New Roman" w:hAnsi="Times New Roman" w:cs="Times New Roman"/>
        </w:rPr>
      </w:pPr>
      <w:r w:rsidRPr="005610CB">
        <w:rPr>
          <w:rStyle w:val="Odwoanieprzypisudolnego"/>
          <w:rFonts w:ascii="Times New Roman" w:hAnsi="Times New Roman" w:cs="Times New Roman"/>
        </w:rPr>
        <w:footnoteRef/>
      </w:r>
      <w:r w:rsidRPr="005610CB">
        <w:rPr>
          <w:rFonts w:ascii="Times New Roman" w:hAnsi="Times New Roman" w:cs="Times New Roman"/>
        </w:rPr>
        <w:t xml:space="preserve"> W lutym 2015 r. </w:t>
      </w:r>
      <w:proofErr w:type="spellStart"/>
      <w:r w:rsidRPr="005610CB">
        <w:rPr>
          <w:rFonts w:ascii="Times New Roman" w:hAnsi="Times New Roman" w:cs="Times New Roman"/>
        </w:rPr>
        <w:t>MN</w:t>
      </w:r>
      <w:r w:rsidR="008E27E1">
        <w:rPr>
          <w:rFonts w:ascii="Times New Roman" w:hAnsi="Times New Roman" w:cs="Times New Roman"/>
        </w:rPr>
        <w:t>i</w:t>
      </w:r>
      <w:r w:rsidRPr="005610CB">
        <w:rPr>
          <w:rFonts w:ascii="Times New Roman" w:hAnsi="Times New Roman" w:cs="Times New Roman"/>
        </w:rPr>
        <w:t>SW</w:t>
      </w:r>
      <w:proofErr w:type="spellEnd"/>
      <w:r w:rsidRPr="005610CB">
        <w:rPr>
          <w:rFonts w:ascii="Times New Roman" w:hAnsi="Times New Roman" w:cs="Times New Roman"/>
        </w:rPr>
        <w:t xml:space="preserve"> </w:t>
      </w:r>
      <w:r w:rsidR="00F701D2">
        <w:rPr>
          <w:rFonts w:ascii="Times New Roman" w:hAnsi="Times New Roman" w:cs="Times New Roman"/>
        </w:rPr>
        <w:t>przedstawiło</w:t>
      </w:r>
      <w:r w:rsidRPr="005610CB">
        <w:rPr>
          <w:rFonts w:ascii="Times New Roman" w:hAnsi="Times New Roman" w:cs="Times New Roman"/>
        </w:rPr>
        <w:t xml:space="preserve"> rys strategii internacjonalizacji szkolnictwa wyższego w Polsce.</w:t>
      </w:r>
    </w:p>
  </w:footnote>
  <w:footnote w:id="19">
    <w:p w:rsidR="00DD1684" w:rsidRPr="004023B0" w:rsidRDefault="005610CB" w:rsidP="00FC1F81">
      <w:pPr>
        <w:pStyle w:val="Tekstprzypisudolnego"/>
        <w:jc w:val="both"/>
        <w:rPr>
          <w:rFonts w:ascii="Times New Roman" w:hAnsi="Times New Roman" w:cs="Times New Roman"/>
        </w:rPr>
      </w:pPr>
      <w:r w:rsidRPr="005610CB">
        <w:rPr>
          <w:rStyle w:val="Odwoanieprzypisudolnego"/>
          <w:rFonts w:ascii="Times New Roman" w:hAnsi="Times New Roman" w:cs="Times New Roman"/>
        </w:rPr>
        <w:footnoteRef/>
      </w:r>
      <w:r w:rsidRPr="005610CB">
        <w:rPr>
          <w:rFonts w:ascii="Times New Roman" w:hAnsi="Times New Roman" w:cs="Times New Roman"/>
        </w:rPr>
        <w:t xml:space="preserve"> Wcześniej uznawane były one za rzeczywiste stypendia, od początku roku akademickiego 2014/</w:t>
      </w:r>
      <w:r w:rsidR="00B71272">
        <w:rPr>
          <w:rFonts w:ascii="Times New Roman" w:hAnsi="Times New Roman" w:cs="Times New Roman"/>
        </w:rPr>
        <w:t>20</w:t>
      </w:r>
      <w:r w:rsidRPr="005610CB">
        <w:rPr>
          <w:rFonts w:ascii="Times New Roman" w:hAnsi="Times New Roman" w:cs="Times New Roman"/>
        </w:rPr>
        <w:t xml:space="preserve">15 </w:t>
      </w:r>
      <w:r w:rsidR="00B71272">
        <w:rPr>
          <w:rFonts w:ascii="Times New Roman" w:hAnsi="Times New Roman" w:cs="Times New Roman"/>
        </w:rPr>
        <w:t>za</w:t>
      </w:r>
      <w:r w:rsidRPr="005610CB">
        <w:rPr>
          <w:rFonts w:ascii="Times New Roman" w:hAnsi="Times New Roman" w:cs="Times New Roman"/>
        </w:rPr>
        <w:t xml:space="preserve"> dochód pracownika, co nałożyło na uczelnie obowiązek rozliczania ich na podstawie kosztów rzeczywistych, często przewyższających wcześniejsze kwoty stypendiów ryczałtowych. W rezultacie tnące koszty uczelnie mogą odmawiać dofinansowania (dopłat) do tych wyjazdów. W poprzedniej perspektywie wyjeżdżający pracownik planował wyjazd tak, aby zmieścić się w wyznaczonym ryczałcie.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684" w:rsidRDefault="00DD168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F3CF5"/>
    <w:multiLevelType w:val="multilevel"/>
    <w:tmpl w:val="F968AD9E"/>
    <w:lvl w:ilvl="0">
      <w:start w:val="1"/>
      <w:numFmt w:val="decimal"/>
      <w:pStyle w:val="Nagwek1"/>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736016"/>
    <w:multiLevelType w:val="hybridMultilevel"/>
    <w:tmpl w:val="FE6E6A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nsid w:val="137B03B2"/>
    <w:multiLevelType w:val="hybridMultilevel"/>
    <w:tmpl w:val="A3625F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D6149A0"/>
    <w:multiLevelType w:val="hybridMultilevel"/>
    <w:tmpl w:val="2D825B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CF90C83"/>
    <w:multiLevelType w:val="hybridMultilevel"/>
    <w:tmpl w:val="39664D3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D8A4DB9"/>
    <w:multiLevelType w:val="multilevel"/>
    <w:tmpl w:val="8B78F3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1512994"/>
    <w:multiLevelType w:val="hybridMultilevel"/>
    <w:tmpl w:val="CD109B70"/>
    <w:lvl w:ilvl="0" w:tplc="2894F8D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EAC1D3A"/>
    <w:multiLevelType w:val="hybridMultilevel"/>
    <w:tmpl w:val="750CB3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EF162B1"/>
    <w:multiLevelType w:val="hybridMultilevel"/>
    <w:tmpl w:val="3C026F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3BE2142"/>
    <w:multiLevelType w:val="hybridMultilevel"/>
    <w:tmpl w:val="D6200B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3175D76"/>
    <w:multiLevelType w:val="hybridMultilevel"/>
    <w:tmpl w:val="4EC8A732"/>
    <w:lvl w:ilvl="0" w:tplc="28CA2150">
      <w:numFmt w:val="bullet"/>
      <w:lvlText w:val=""/>
      <w:lvlJc w:val="left"/>
      <w:pPr>
        <w:ind w:left="720" w:hanging="360"/>
      </w:pPr>
      <w:rPr>
        <w:rFonts w:ascii="Wingdings" w:eastAsiaTheme="minorHAnsi" w:hAnsi="Wingding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605B42E8"/>
    <w:multiLevelType w:val="hybridMultilevel"/>
    <w:tmpl w:val="61E29C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8F26439"/>
    <w:multiLevelType w:val="hybridMultilevel"/>
    <w:tmpl w:val="C324C7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D1F6AB5"/>
    <w:multiLevelType w:val="hybridMultilevel"/>
    <w:tmpl w:val="A70C272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7E26547D"/>
    <w:multiLevelType w:val="hybridMultilevel"/>
    <w:tmpl w:val="12FC92E0"/>
    <w:lvl w:ilvl="0" w:tplc="04150005">
      <w:start w:val="1"/>
      <w:numFmt w:val="bullet"/>
      <w:lvlText w:val=""/>
      <w:lvlJc w:val="left"/>
      <w:pPr>
        <w:ind w:left="1083" w:hanging="360"/>
      </w:pPr>
      <w:rPr>
        <w:rFonts w:ascii="Wingdings" w:hAnsi="Wingdings"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num w:numId="1">
    <w:abstractNumId w:val="9"/>
  </w:num>
  <w:num w:numId="2">
    <w:abstractNumId w:val="3"/>
  </w:num>
  <w:num w:numId="3">
    <w:abstractNumId w:val="1"/>
  </w:num>
  <w:num w:numId="4">
    <w:abstractNumId w:val="2"/>
  </w:num>
  <w:num w:numId="5">
    <w:abstractNumId w:val="1"/>
  </w:num>
  <w:num w:numId="6">
    <w:abstractNumId w:val="11"/>
  </w:num>
  <w:num w:numId="7">
    <w:abstractNumId w:val="5"/>
  </w:num>
  <w:num w:numId="8">
    <w:abstractNumId w:val="6"/>
  </w:num>
  <w:num w:numId="9">
    <w:abstractNumId w:val="7"/>
  </w:num>
  <w:num w:numId="10">
    <w:abstractNumId w:val="10"/>
  </w:num>
  <w:num w:numId="11">
    <w:abstractNumId w:val="13"/>
  </w:num>
  <w:num w:numId="12">
    <w:abstractNumId w:val="4"/>
  </w:num>
  <w:num w:numId="13">
    <w:abstractNumId w:val="12"/>
  </w:num>
  <w:num w:numId="14">
    <w:abstractNumId w:val="0"/>
  </w:num>
  <w:num w:numId="15">
    <w:abstractNumId w:val="0"/>
  </w:num>
  <w:num w:numId="16">
    <w:abstractNumId w:val="0"/>
  </w:num>
  <w:num w:numId="17">
    <w:abstractNumId w:val="0"/>
  </w:num>
  <w:num w:numId="18">
    <w:abstractNumId w:val="0"/>
  </w:num>
  <w:num w:numId="19">
    <w:abstractNumId w:val="0"/>
  </w:num>
  <w:num w:numId="20">
    <w:abstractNumId w:val="14"/>
  </w:num>
  <w:num w:numId="21">
    <w:abstractNumId w:val="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274"/>
    <w:rsid w:val="00001199"/>
    <w:rsid w:val="00001489"/>
    <w:rsid w:val="000055D4"/>
    <w:rsid w:val="00012E88"/>
    <w:rsid w:val="000142A7"/>
    <w:rsid w:val="000170BE"/>
    <w:rsid w:val="000203D8"/>
    <w:rsid w:val="000224AB"/>
    <w:rsid w:val="00023DFE"/>
    <w:rsid w:val="0002500F"/>
    <w:rsid w:val="0003456B"/>
    <w:rsid w:val="00036549"/>
    <w:rsid w:val="000409A5"/>
    <w:rsid w:val="00047170"/>
    <w:rsid w:val="00051010"/>
    <w:rsid w:val="00051289"/>
    <w:rsid w:val="00061DC5"/>
    <w:rsid w:val="00061F29"/>
    <w:rsid w:val="000621A2"/>
    <w:rsid w:val="000623E7"/>
    <w:rsid w:val="000630D6"/>
    <w:rsid w:val="00064A28"/>
    <w:rsid w:val="00071162"/>
    <w:rsid w:val="000721C3"/>
    <w:rsid w:val="000731DF"/>
    <w:rsid w:val="00080DEB"/>
    <w:rsid w:val="00087C30"/>
    <w:rsid w:val="000917AC"/>
    <w:rsid w:val="000A0FD7"/>
    <w:rsid w:val="000A7CAA"/>
    <w:rsid w:val="000B1937"/>
    <w:rsid w:val="000B278C"/>
    <w:rsid w:val="000B51B4"/>
    <w:rsid w:val="000B7125"/>
    <w:rsid w:val="000C1846"/>
    <w:rsid w:val="000C4586"/>
    <w:rsid w:val="000D05EA"/>
    <w:rsid w:val="000D1DC7"/>
    <w:rsid w:val="000D4D35"/>
    <w:rsid w:val="000D658B"/>
    <w:rsid w:val="000E186C"/>
    <w:rsid w:val="000E1B48"/>
    <w:rsid w:val="000E21C3"/>
    <w:rsid w:val="000E4928"/>
    <w:rsid w:val="000E771C"/>
    <w:rsid w:val="000F2F0F"/>
    <w:rsid w:val="000F3F4E"/>
    <w:rsid w:val="000F4F02"/>
    <w:rsid w:val="000F6B03"/>
    <w:rsid w:val="0010023D"/>
    <w:rsid w:val="00101D4E"/>
    <w:rsid w:val="0010260A"/>
    <w:rsid w:val="00102A03"/>
    <w:rsid w:val="00105733"/>
    <w:rsid w:val="00114D9B"/>
    <w:rsid w:val="001159C2"/>
    <w:rsid w:val="00117E34"/>
    <w:rsid w:val="00121A0F"/>
    <w:rsid w:val="00121EFA"/>
    <w:rsid w:val="00122004"/>
    <w:rsid w:val="00122A64"/>
    <w:rsid w:val="001241E5"/>
    <w:rsid w:val="00127AFE"/>
    <w:rsid w:val="00130552"/>
    <w:rsid w:val="0013121E"/>
    <w:rsid w:val="00133A45"/>
    <w:rsid w:val="00135E5A"/>
    <w:rsid w:val="00136717"/>
    <w:rsid w:val="00137E1A"/>
    <w:rsid w:val="00140AFC"/>
    <w:rsid w:val="0014255A"/>
    <w:rsid w:val="001429F0"/>
    <w:rsid w:val="00143996"/>
    <w:rsid w:val="001458D1"/>
    <w:rsid w:val="00145CD2"/>
    <w:rsid w:val="00150639"/>
    <w:rsid w:val="0015335C"/>
    <w:rsid w:val="00153700"/>
    <w:rsid w:val="001545D4"/>
    <w:rsid w:val="001602F6"/>
    <w:rsid w:val="0016093B"/>
    <w:rsid w:val="00161B43"/>
    <w:rsid w:val="00161ED1"/>
    <w:rsid w:val="00163381"/>
    <w:rsid w:val="0016454E"/>
    <w:rsid w:val="001663E1"/>
    <w:rsid w:val="001668DE"/>
    <w:rsid w:val="001706A1"/>
    <w:rsid w:val="00170906"/>
    <w:rsid w:val="00170FEA"/>
    <w:rsid w:val="001712F5"/>
    <w:rsid w:val="00172CF9"/>
    <w:rsid w:val="00172EC1"/>
    <w:rsid w:val="001837B6"/>
    <w:rsid w:val="00183888"/>
    <w:rsid w:val="00184624"/>
    <w:rsid w:val="00184F79"/>
    <w:rsid w:val="0018746A"/>
    <w:rsid w:val="00190880"/>
    <w:rsid w:val="00194207"/>
    <w:rsid w:val="00196A36"/>
    <w:rsid w:val="001B07BD"/>
    <w:rsid w:val="001B2D4F"/>
    <w:rsid w:val="001B523E"/>
    <w:rsid w:val="001B59AC"/>
    <w:rsid w:val="001B5FFE"/>
    <w:rsid w:val="001B7135"/>
    <w:rsid w:val="001B78D1"/>
    <w:rsid w:val="001C2730"/>
    <w:rsid w:val="001C299C"/>
    <w:rsid w:val="001C5DBB"/>
    <w:rsid w:val="001D4D17"/>
    <w:rsid w:val="001D53F2"/>
    <w:rsid w:val="001D633B"/>
    <w:rsid w:val="001D66C8"/>
    <w:rsid w:val="001D726C"/>
    <w:rsid w:val="001E3D85"/>
    <w:rsid w:val="001F1AC0"/>
    <w:rsid w:val="001F62A3"/>
    <w:rsid w:val="001F6F6E"/>
    <w:rsid w:val="001F796E"/>
    <w:rsid w:val="00201A2D"/>
    <w:rsid w:val="00201D11"/>
    <w:rsid w:val="00206487"/>
    <w:rsid w:val="00207D13"/>
    <w:rsid w:val="00210FE0"/>
    <w:rsid w:val="00222084"/>
    <w:rsid w:val="00222D8C"/>
    <w:rsid w:val="00222E90"/>
    <w:rsid w:val="002313D2"/>
    <w:rsid w:val="002317B1"/>
    <w:rsid w:val="0023434E"/>
    <w:rsid w:val="00235B3A"/>
    <w:rsid w:val="0023611F"/>
    <w:rsid w:val="002424E0"/>
    <w:rsid w:val="00245B80"/>
    <w:rsid w:val="00251560"/>
    <w:rsid w:val="00252FA7"/>
    <w:rsid w:val="00253DE2"/>
    <w:rsid w:val="00254F4A"/>
    <w:rsid w:val="0026080A"/>
    <w:rsid w:val="0026534F"/>
    <w:rsid w:val="002730D1"/>
    <w:rsid w:val="00273929"/>
    <w:rsid w:val="00273A87"/>
    <w:rsid w:val="002744F6"/>
    <w:rsid w:val="00276619"/>
    <w:rsid w:val="002826E2"/>
    <w:rsid w:val="00282ED1"/>
    <w:rsid w:val="0028664E"/>
    <w:rsid w:val="00287B78"/>
    <w:rsid w:val="002A23F8"/>
    <w:rsid w:val="002A29D4"/>
    <w:rsid w:val="002A4D32"/>
    <w:rsid w:val="002A5AF3"/>
    <w:rsid w:val="002B002A"/>
    <w:rsid w:val="002B1BDB"/>
    <w:rsid w:val="002B32CC"/>
    <w:rsid w:val="002C1C0C"/>
    <w:rsid w:val="002C5B3F"/>
    <w:rsid w:val="002C7660"/>
    <w:rsid w:val="002C78F5"/>
    <w:rsid w:val="002D031B"/>
    <w:rsid w:val="002D1F80"/>
    <w:rsid w:val="002D3085"/>
    <w:rsid w:val="002D51AD"/>
    <w:rsid w:val="002E005C"/>
    <w:rsid w:val="002E012C"/>
    <w:rsid w:val="002E19D8"/>
    <w:rsid w:val="002E3A40"/>
    <w:rsid w:val="002E4CFA"/>
    <w:rsid w:val="002F2A04"/>
    <w:rsid w:val="002F39FA"/>
    <w:rsid w:val="002F3FCD"/>
    <w:rsid w:val="00301D7F"/>
    <w:rsid w:val="00304AF1"/>
    <w:rsid w:val="00305601"/>
    <w:rsid w:val="003123B8"/>
    <w:rsid w:val="00313352"/>
    <w:rsid w:val="003135D2"/>
    <w:rsid w:val="00316167"/>
    <w:rsid w:val="0032091A"/>
    <w:rsid w:val="003343A3"/>
    <w:rsid w:val="0034011F"/>
    <w:rsid w:val="003414ED"/>
    <w:rsid w:val="003422CB"/>
    <w:rsid w:val="003431CA"/>
    <w:rsid w:val="00344799"/>
    <w:rsid w:val="00344F51"/>
    <w:rsid w:val="00345A58"/>
    <w:rsid w:val="0034643D"/>
    <w:rsid w:val="00346A74"/>
    <w:rsid w:val="0035696A"/>
    <w:rsid w:val="00361787"/>
    <w:rsid w:val="0036382A"/>
    <w:rsid w:val="00365308"/>
    <w:rsid w:val="00367A06"/>
    <w:rsid w:val="00367E2E"/>
    <w:rsid w:val="00374E97"/>
    <w:rsid w:val="00375372"/>
    <w:rsid w:val="0037648B"/>
    <w:rsid w:val="003823F4"/>
    <w:rsid w:val="003826A3"/>
    <w:rsid w:val="00385A2E"/>
    <w:rsid w:val="003862D6"/>
    <w:rsid w:val="003865F1"/>
    <w:rsid w:val="003908B0"/>
    <w:rsid w:val="003911F8"/>
    <w:rsid w:val="0039407C"/>
    <w:rsid w:val="00396D70"/>
    <w:rsid w:val="003A3A6F"/>
    <w:rsid w:val="003A3DAD"/>
    <w:rsid w:val="003A4501"/>
    <w:rsid w:val="003A4687"/>
    <w:rsid w:val="003A67C2"/>
    <w:rsid w:val="003B1CD3"/>
    <w:rsid w:val="003B20BD"/>
    <w:rsid w:val="003B664C"/>
    <w:rsid w:val="003C5FAE"/>
    <w:rsid w:val="003C6B71"/>
    <w:rsid w:val="003D1FB0"/>
    <w:rsid w:val="003D6BCE"/>
    <w:rsid w:val="003E614E"/>
    <w:rsid w:val="003F1549"/>
    <w:rsid w:val="003F673E"/>
    <w:rsid w:val="004023B0"/>
    <w:rsid w:val="00402626"/>
    <w:rsid w:val="00415723"/>
    <w:rsid w:val="004157F6"/>
    <w:rsid w:val="00417CB3"/>
    <w:rsid w:val="00420835"/>
    <w:rsid w:val="00422918"/>
    <w:rsid w:val="00424CB9"/>
    <w:rsid w:val="004335D2"/>
    <w:rsid w:val="0043507E"/>
    <w:rsid w:val="004354DC"/>
    <w:rsid w:val="0043677A"/>
    <w:rsid w:val="00441451"/>
    <w:rsid w:val="00443140"/>
    <w:rsid w:val="00444D00"/>
    <w:rsid w:val="004478D2"/>
    <w:rsid w:val="00451E68"/>
    <w:rsid w:val="004608D9"/>
    <w:rsid w:val="004608F1"/>
    <w:rsid w:val="00462A55"/>
    <w:rsid w:val="004725E1"/>
    <w:rsid w:val="00472967"/>
    <w:rsid w:val="004733CD"/>
    <w:rsid w:val="004733FA"/>
    <w:rsid w:val="0047737F"/>
    <w:rsid w:val="004822DE"/>
    <w:rsid w:val="00483506"/>
    <w:rsid w:val="00483E7E"/>
    <w:rsid w:val="004859D3"/>
    <w:rsid w:val="00485A3A"/>
    <w:rsid w:val="004873F1"/>
    <w:rsid w:val="004913D0"/>
    <w:rsid w:val="00491E8A"/>
    <w:rsid w:val="00493991"/>
    <w:rsid w:val="004A5B92"/>
    <w:rsid w:val="004A6AAE"/>
    <w:rsid w:val="004A6EBF"/>
    <w:rsid w:val="004B0FD7"/>
    <w:rsid w:val="004B1F2D"/>
    <w:rsid w:val="004B21A9"/>
    <w:rsid w:val="004B55A6"/>
    <w:rsid w:val="004C71C0"/>
    <w:rsid w:val="004C7810"/>
    <w:rsid w:val="004E1E0A"/>
    <w:rsid w:val="004E2A8D"/>
    <w:rsid w:val="004E2E2A"/>
    <w:rsid w:val="004E64E6"/>
    <w:rsid w:val="004F11B6"/>
    <w:rsid w:val="004F3804"/>
    <w:rsid w:val="004F3DDF"/>
    <w:rsid w:val="00500EEF"/>
    <w:rsid w:val="0050262F"/>
    <w:rsid w:val="00507173"/>
    <w:rsid w:val="00512EE2"/>
    <w:rsid w:val="0051492C"/>
    <w:rsid w:val="00514ADC"/>
    <w:rsid w:val="00514FFD"/>
    <w:rsid w:val="005159B3"/>
    <w:rsid w:val="005159B9"/>
    <w:rsid w:val="005179DD"/>
    <w:rsid w:val="0052097B"/>
    <w:rsid w:val="005320F3"/>
    <w:rsid w:val="005322FE"/>
    <w:rsid w:val="00532B6D"/>
    <w:rsid w:val="00532D81"/>
    <w:rsid w:val="00533E1E"/>
    <w:rsid w:val="00535E39"/>
    <w:rsid w:val="005413B3"/>
    <w:rsid w:val="0054264E"/>
    <w:rsid w:val="00543705"/>
    <w:rsid w:val="005439D9"/>
    <w:rsid w:val="00544CF9"/>
    <w:rsid w:val="00547B41"/>
    <w:rsid w:val="00550946"/>
    <w:rsid w:val="00550A60"/>
    <w:rsid w:val="00553A6B"/>
    <w:rsid w:val="00553CC2"/>
    <w:rsid w:val="00554756"/>
    <w:rsid w:val="00556652"/>
    <w:rsid w:val="005571B2"/>
    <w:rsid w:val="005610CB"/>
    <w:rsid w:val="005636FD"/>
    <w:rsid w:val="005642DA"/>
    <w:rsid w:val="005644C4"/>
    <w:rsid w:val="005765CC"/>
    <w:rsid w:val="00577192"/>
    <w:rsid w:val="005822BE"/>
    <w:rsid w:val="0058647B"/>
    <w:rsid w:val="00586A9F"/>
    <w:rsid w:val="005910AE"/>
    <w:rsid w:val="00594BAF"/>
    <w:rsid w:val="00596B19"/>
    <w:rsid w:val="005972D8"/>
    <w:rsid w:val="005A24CE"/>
    <w:rsid w:val="005A53B6"/>
    <w:rsid w:val="005B1DB8"/>
    <w:rsid w:val="005B762E"/>
    <w:rsid w:val="005C12D9"/>
    <w:rsid w:val="005C28EC"/>
    <w:rsid w:val="005D054C"/>
    <w:rsid w:val="005D17B1"/>
    <w:rsid w:val="005D24AF"/>
    <w:rsid w:val="005D33FE"/>
    <w:rsid w:val="005D47ED"/>
    <w:rsid w:val="005E13B6"/>
    <w:rsid w:val="005E2DC1"/>
    <w:rsid w:val="005E3929"/>
    <w:rsid w:val="005E39FF"/>
    <w:rsid w:val="005E6F2C"/>
    <w:rsid w:val="005F54F7"/>
    <w:rsid w:val="00604B19"/>
    <w:rsid w:val="006055E0"/>
    <w:rsid w:val="00606478"/>
    <w:rsid w:val="006067B3"/>
    <w:rsid w:val="0060686E"/>
    <w:rsid w:val="006075C3"/>
    <w:rsid w:val="00610F54"/>
    <w:rsid w:val="006116E0"/>
    <w:rsid w:val="00612119"/>
    <w:rsid w:val="006124A0"/>
    <w:rsid w:val="006138B3"/>
    <w:rsid w:val="006158D4"/>
    <w:rsid w:val="006215CD"/>
    <w:rsid w:val="006219CA"/>
    <w:rsid w:val="0062395F"/>
    <w:rsid w:val="006250DD"/>
    <w:rsid w:val="0063142E"/>
    <w:rsid w:val="00642240"/>
    <w:rsid w:val="00642825"/>
    <w:rsid w:val="00643AB9"/>
    <w:rsid w:val="00650485"/>
    <w:rsid w:val="006510C7"/>
    <w:rsid w:val="006518F6"/>
    <w:rsid w:val="00655EB2"/>
    <w:rsid w:val="006564E6"/>
    <w:rsid w:val="006567EB"/>
    <w:rsid w:val="00660044"/>
    <w:rsid w:val="00664B0B"/>
    <w:rsid w:val="00664B8E"/>
    <w:rsid w:val="00665452"/>
    <w:rsid w:val="006664B8"/>
    <w:rsid w:val="00672B6A"/>
    <w:rsid w:val="00675828"/>
    <w:rsid w:val="006763FE"/>
    <w:rsid w:val="006766F5"/>
    <w:rsid w:val="00681579"/>
    <w:rsid w:val="00685F1E"/>
    <w:rsid w:val="006927B1"/>
    <w:rsid w:val="006A127F"/>
    <w:rsid w:val="006A3640"/>
    <w:rsid w:val="006B26B4"/>
    <w:rsid w:val="006B297C"/>
    <w:rsid w:val="006B35BF"/>
    <w:rsid w:val="006B416A"/>
    <w:rsid w:val="006B590A"/>
    <w:rsid w:val="006B6BD9"/>
    <w:rsid w:val="006C1DFB"/>
    <w:rsid w:val="006C22FE"/>
    <w:rsid w:val="006C6F21"/>
    <w:rsid w:val="006D0119"/>
    <w:rsid w:val="006D1505"/>
    <w:rsid w:val="006E08EF"/>
    <w:rsid w:val="006E3706"/>
    <w:rsid w:val="006E6ECE"/>
    <w:rsid w:val="006E7776"/>
    <w:rsid w:val="006F0C02"/>
    <w:rsid w:val="006F2358"/>
    <w:rsid w:val="006F799C"/>
    <w:rsid w:val="007002D4"/>
    <w:rsid w:val="007051C7"/>
    <w:rsid w:val="007056FD"/>
    <w:rsid w:val="00705C5B"/>
    <w:rsid w:val="00706AC8"/>
    <w:rsid w:val="007106AA"/>
    <w:rsid w:val="00715FF4"/>
    <w:rsid w:val="00716859"/>
    <w:rsid w:val="00723EA8"/>
    <w:rsid w:val="00731502"/>
    <w:rsid w:val="007432F0"/>
    <w:rsid w:val="00744F61"/>
    <w:rsid w:val="00751091"/>
    <w:rsid w:val="007523DD"/>
    <w:rsid w:val="0075488B"/>
    <w:rsid w:val="00760685"/>
    <w:rsid w:val="00762F39"/>
    <w:rsid w:val="00762F70"/>
    <w:rsid w:val="00767421"/>
    <w:rsid w:val="0077081C"/>
    <w:rsid w:val="00774D19"/>
    <w:rsid w:val="00774DC8"/>
    <w:rsid w:val="00774EA6"/>
    <w:rsid w:val="00776F5B"/>
    <w:rsid w:val="00781361"/>
    <w:rsid w:val="007841C8"/>
    <w:rsid w:val="00787ACA"/>
    <w:rsid w:val="00787CB8"/>
    <w:rsid w:val="00791E1E"/>
    <w:rsid w:val="00792D9F"/>
    <w:rsid w:val="007938AF"/>
    <w:rsid w:val="007A257C"/>
    <w:rsid w:val="007A3C4B"/>
    <w:rsid w:val="007A521B"/>
    <w:rsid w:val="007A777A"/>
    <w:rsid w:val="007A77F0"/>
    <w:rsid w:val="007B11C9"/>
    <w:rsid w:val="007B1DB5"/>
    <w:rsid w:val="007B431D"/>
    <w:rsid w:val="007C3BAE"/>
    <w:rsid w:val="007C745D"/>
    <w:rsid w:val="007C7560"/>
    <w:rsid w:val="007D0F8C"/>
    <w:rsid w:val="007D2DCF"/>
    <w:rsid w:val="007D7730"/>
    <w:rsid w:val="007E0250"/>
    <w:rsid w:val="007E1162"/>
    <w:rsid w:val="007E186B"/>
    <w:rsid w:val="007E198E"/>
    <w:rsid w:val="007E2F37"/>
    <w:rsid w:val="007E4550"/>
    <w:rsid w:val="007F2C95"/>
    <w:rsid w:val="007F5245"/>
    <w:rsid w:val="0080240E"/>
    <w:rsid w:val="00804FC5"/>
    <w:rsid w:val="008076A6"/>
    <w:rsid w:val="00807D7D"/>
    <w:rsid w:val="0081055A"/>
    <w:rsid w:val="0081333B"/>
    <w:rsid w:val="00820AEF"/>
    <w:rsid w:val="00822461"/>
    <w:rsid w:val="00825DE2"/>
    <w:rsid w:val="008310A3"/>
    <w:rsid w:val="00834A97"/>
    <w:rsid w:val="0083613A"/>
    <w:rsid w:val="008435B5"/>
    <w:rsid w:val="008463E1"/>
    <w:rsid w:val="008468B5"/>
    <w:rsid w:val="0085116E"/>
    <w:rsid w:val="00853D59"/>
    <w:rsid w:val="00855FBB"/>
    <w:rsid w:val="008563FF"/>
    <w:rsid w:val="00862B55"/>
    <w:rsid w:val="00865204"/>
    <w:rsid w:val="0086612E"/>
    <w:rsid w:val="0087119A"/>
    <w:rsid w:val="008711F0"/>
    <w:rsid w:val="008759A5"/>
    <w:rsid w:val="00884ABB"/>
    <w:rsid w:val="00884D79"/>
    <w:rsid w:val="00885150"/>
    <w:rsid w:val="008854C6"/>
    <w:rsid w:val="0089012E"/>
    <w:rsid w:val="00892C64"/>
    <w:rsid w:val="00893390"/>
    <w:rsid w:val="008958FA"/>
    <w:rsid w:val="00895EB7"/>
    <w:rsid w:val="008A0D28"/>
    <w:rsid w:val="008A19C1"/>
    <w:rsid w:val="008A1EB9"/>
    <w:rsid w:val="008A2809"/>
    <w:rsid w:val="008A2A70"/>
    <w:rsid w:val="008A56DE"/>
    <w:rsid w:val="008A77AB"/>
    <w:rsid w:val="008B030F"/>
    <w:rsid w:val="008B2270"/>
    <w:rsid w:val="008B719F"/>
    <w:rsid w:val="008B7CF7"/>
    <w:rsid w:val="008C0004"/>
    <w:rsid w:val="008C4598"/>
    <w:rsid w:val="008E10B1"/>
    <w:rsid w:val="008E1149"/>
    <w:rsid w:val="008E27E1"/>
    <w:rsid w:val="008E4778"/>
    <w:rsid w:val="008F06F5"/>
    <w:rsid w:val="008F59E2"/>
    <w:rsid w:val="008F6541"/>
    <w:rsid w:val="008F668B"/>
    <w:rsid w:val="008F6CBE"/>
    <w:rsid w:val="008F77F3"/>
    <w:rsid w:val="0090002D"/>
    <w:rsid w:val="00900A44"/>
    <w:rsid w:val="00900AF9"/>
    <w:rsid w:val="00900DA7"/>
    <w:rsid w:val="0090321E"/>
    <w:rsid w:val="0090341A"/>
    <w:rsid w:val="00907273"/>
    <w:rsid w:val="00910C0C"/>
    <w:rsid w:val="0091142C"/>
    <w:rsid w:val="009150F2"/>
    <w:rsid w:val="00920528"/>
    <w:rsid w:val="0092184F"/>
    <w:rsid w:val="00932136"/>
    <w:rsid w:val="009349D9"/>
    <w:rsid w:val="00940608"/>
    <w:rsid w:val="0094344E"/>
    <w:rsid w:val="00946192"/>
    <w:rsid w:val="0094629C"/>
    <w:rsid w:val="00946700"/>
    <w:rsid w:val="009534EA"/>
    <w:rsid w:val="00962F2F"/>
    <w:rsid w:val="009634B9"/>
    <w:rsid w:val="00966C8A"/>
    <w:rsid w:val="00967BA9"/>
    <w:rsid w:val="009736D9"/>
    <w:rsid w:val="0097404E"/>
    <w:rsid w:val="00974B26"/>
    <w:rsid w:val="00975859"/>
    <w:rsid w:val="009822DD"/>
    <w:rsid w:val="00982448"/>
    <w:rsid w:val="00984D33"/>
    <w:rsid w:val="00985182"/>
    <w:rsid w:val="00985521"/>
    <w:rsid w:val="009861B9"/>
    <w:rsid w:val="00992249"/>
    <w:rsid w:val="00995783"/>
    <w:rsid w:val="00997C2D"/>
    <w:rsid w:val="009A3488"/>
    <w:rsid w:val="009A5E06"/>
    <w:rsid w:val="009A6687"/>
    <w:rsid w:val="009B082D"/>
    <w:rsid w:val="009B3AD3"/>
    <w:rsid w:val="009B434F"/>
    <w:rsid w:val="009B7EED"/>
    <w:rsid w:val="009C3581"/>
    <w:rsid w:val="009C4975"/>
    <w:rsid w:val="009D016D"/>
    <w:rsid w:val="009D0736"/>
    <w:rsid w:val="009D1E07"/>
    <w:rsid w:val="009D567F"/>
    <w:rsid w:val="009D5718"/>
    <w:rsid w:val="009D57F2"/>
    <w:rsid w:val="009D6B24"/>
    <w:rsid w:val="009D7A90"/>
    <w:rsid w:val="009E3A50"/>
    <w:rsid w:val="009E5CE0"/>
    <w:rsid w:val="009E6A5A"/>
    <w:rsid w:val="009E7BF9"/>
    <w:rsid w:val="009F0B6A"/>
    <w:rsid w:val="00A026AA"/>
    <w:rsid w:val="00A048E9"/>
    <w:rsid w:val="00A05A78"/>
    <w:rsid w:val="00A13CA7"/>
    <w:rsid w:val="00A14029"/>
    <w:rsid w:val="00A1487C"/>
    <w:rsid w:val="00A208EE"/>
    <w:rsid w:val="00A211FB"/>
    <w:rsid w:val="00A21DD9"/>
    <w:rsid w:val="00A21F90"/>
    <w:rsid w:val="00A25DDC"/>
    <w:rsid w:val="00A276C8"/>
    <w:rsid w:val="00A3094E"/>
    <w:rsid w:val="00A322CE"/>
    <w:rsid w:val="00A33189"/>
    <w:rsid w:val="00A37126"/>
    <w:rsid w:val="00A40533"/>
    <w:rsid w:val="00A427DA"/>
    <w:rsid w:val="00A43994"/>
    <w:rsid w:val="00A44F65"/>
    <w:rsid w:val="00A46BC4"/>
    <w:rsid w:val="00A50F1C"/>
    <w:rsid w:val="00A52431"/>
    <w:rsid w:val="00A63ADF"/>
    <w:rsid w:val="00A66501"/>
    <w:rsid w:val="00A7190D"/>
    <w:rsid w:val="00A72C51"/>
    <w:rsid w:val="00A7641A"/>
    <w:rsid w:val="00A770EC"/>
    <w:rsid w:val="00A844D9"/>
    <w:rsid w:val="00A85FC9"/>
    <w:rsid w:val="00A86181"/>
    <w:rsid w:val="00A8787F"/>
    <w:rsid w:val="00A9004C"/>
    <w:rsid w:val="00A93FB4"/>
    <w:rsid w:val="00A96A0D"/>
    <w:rsid w:val="00AA24E2"/>
    <w:rsid w:val="00AA3FEE"/>
    <w:rsid w:val="00AA5B02"/>
    <w:rsid w:val="00AA6A92"/>
    <w:rsid w:val="00AA6F39"/>
    <w:rsid w:val="00AA7DBF"/>
    <w:rsid w:val="00AB5C92"/>
    <w:rsid w:val="00AB5CE5"/>
    <w:rsid w:val="00AB5FBD"/>
    <w:rsid w:val="00AB77A3"/>
    <w:rsid w:val="00AC4C61"/>
    <w:rsid w:val="00AC70EC"/>
    <w:rsid w:val="00AD0279"/>
    <w:rsid w:val="00AD5178"/>
    <w:rsid w:val="00AD54FE"/>
    <w:rsid w:val="00AD6076"/>
    <w:rsid w:val="00AE495D"/>
    <w:rsid w:val="00AE4E03"/>
    <w:rsid w:val="00AF2594"/>
    <w:rsid w:val="00B00AA6"/>
    <w:rsid w:val="00B02588"/>
    <w:rsid w:val="00B12938"/>
    <w:rsid w:val="00B13E6E"/>
    <w:rsid w:val="00B1470A"/>
    <w:rsid w:val="00B1520C"/>
    <w:rsid w:val="00B163F1"/>
    <w:rsid w:val="00B2063F"/>
    <w:rsid w:val="00B22474"/>
    <w:rsid w:val="00B224E9"/>
    <w:rsid w:val="00B270FA"/>
    <w:rsid w:val="00B34516"/>
    <w:rsid w:val="00B3568B"/>
    <w:rsid w:val="00B36134"/>
    <w:rsid w:val="00B401FB"/>
    <w:rsid w:val="00B42FE8"/>
    <w:rsid w:val="00B51884"/>
    <w:rsid w:val="00B522FA"/>
    <w:rsid w:val="00B57746"/>
    <w:rsid w:val="00B6114E"/>
    <w:rsid w:val="00B61F5D"/>
    <w:rsid w:val="00B62780"/>
    <w:rsid w:val="00B63182"/>
    <w:rsid w:val="00B633B1"/>
    <w:rsid w:val="00B63CDE"/>
    <w:rsid w:val="00B63D0E"/>
    <w:rsid w:val="00B63E03"/>
    <w:rsid w:val="00B64676"/>
    <w:rsid w:val="00B64EC7"/>
    <w:rsid w:val="00B6561E"/>
    <w:rsid w:val="00B677F5"/>
    <w:rsid w:val="00B702D4"/>
    <w:rsid w:val="00B71272"/>
    <w:rsid w:val="00B7157A"/>
    <w:rsid w:val="00B728F4"/>
    <w:rsid w:val="00B833EC"/>
    <w:rsid w:val="00B83FE1"/>
    <w:rsid w:val="00B84723"/>
    <w:rsid w:val="00B871E7"/>
    <w:rsid w:val="00B9026A"/>
    <w:rsid w:val="00B91392"/>
    <w:rsid w:val="00B93EE1"/>
    <w:rsid w:val="00B9695D"/>
    <w:rsid w:val="00B978EB"/>
    <w:rsid w:val="00BA1EB7"/>
    <w:rsid w:val="00BA6B85"/>
    <w:rsid w:val="00BB0F7B"/>
    <w:rsid w:val="00BB4838"/>
    <w:rsid w:val="00BB5609"/>
    <w:rsid w:val="00BB634A"/>
    <w:rsid w:val="00BB76D6"/>
    <w:rsid w:val="00BC07DE"/>
    <w:rsid w:val="00BC16AE"/>
    <w:rsid w:val="00BC1A94"/>
    <w:rsid w:val="00BC2864"/>
    <w:rsid w:val="00BC2FA1"/>
    <w:rsid w:val="00BC48A5"/>
    <w:rsid w:val="00BC522D"/>
    <w:rsid w:val="00BD172F"/>
    <w:rsid w:val="00BD2A3E"/>
    <w:rsid w:val="00BD3E2D"/>
    <w:rsid w:val="00BD410C"/>
    <w:rsid w:val="00BD6562"/>
    <w:rsid w:val="00BD6F23"/>
    <w:rsid w:val="00BE5257"/>
    <w:rsid w:val="00BE56C6"/>
    <w:rsid w:val="00BF2291"/>
    <w:rsid w:val="00BF381E"/>
    <w:rsid w:val="00C02461"/>
    <w:rsid w:val="00C11025"/>
    <w:rsid w:val="00C11F77"/>
    <w:rsid w:val="00C14883"/>
    <w:rsid w:val="00C15454"/>
    <w:rsid w:val="00C16040"/>
    <w:rsid w:val="00C1686F"/>
    <w:rsid w:val="00C23E78"/>
    <w:rsid w:val="00C25B65"/>
    <w:rsid w:val="00C33DCC"/>
    <w:rsid w:val="00C41F58"/>
    <w:rsid w:val="00C4236F"/>
    <w:rsid w:val="00C45278"/>
    <w:rsid w:val="00C45DDD"/>
    <w:rsid w:val="00C51BC7"/>
    <w:rsid w:val="00C54844"/>
    <w:rsid w:val="00C55904"/>
    <w:rsid w:val="00C60F3D"/>
    <w:rsid w:val="00C6129B"/>
    <w:rsid w:val="00C62D37"/>
    <w:rsid w:val="00C65311"/>
    <w:rsid w:val="00C71485"/>
    <w:rsid w:val="00C73115"/>
    <w:rsid w:val="00C7315A"/>
    <w:rsid w:val="00C747ED"/>
    <w:rsid w:val="00C83742"/>
    <w:rsid w:val="00C8451D"/>
    <w:rsid w:val="00C85B93"/>
    <w:rsid w:val="00C925DD"/>
    <w:rsid w:val="00C9627C"/>
    <w:rsid w:val="00C97644"/>
    <w:rsid w:val="00CA202B"/>
    <w:rsid w:val="00CA3F5C"/>
    <w:rsid w:val="00CA4E1F"/>
    <w:rsid w:val="00CA7C77"/>
    <w:rsid w:val="00CB3BB4"/>
    <w:rsid w:val="00CB41C5"/>
    <w:rsid w:val="00CB43F6"/>
    <w:rsid w:val="00CB5FA8"/>
    <w:rsid w:val="00CB61AD"/>
    <w:rsid w:val="00CB6B67"/>
    <w:rsid w:val="00CB7971"/>
    <w:rsid w:val="00CB7DC9"/>
    <w:rsid w:val="00CC190D"/>
    <w:rsid w:val="00CC522C"/>
    <w:rsid w:val="00CD0BFC"/>
    <w:rsid w:val="00CD1DC3"/>
    <w:rsid w:val="00CD3694"/>
    <w:rsid w:val="00CE1EA1"/>
    <w:rsid w:val="00CE315C"/>
    <w:rsid w:val="00CF5BF7"/>
    <w:rsid w:val="00CF7340"/>
    <w:rsid w:val="00CF745C"/>
    <w:rsid w:val="00CF799F"/>
    <w:rsid w:val="00D02C7D"/>
    <w:rsid w:val="00D0390C"/>
    <w:rsid w:val="00D03F4D"/>
    <w:rsid w:val="00D04C3B"/>
    <w:rsid w:val="00D0554A"/>
    <w:rsid w:val="00D112B8"/>
    <w:rsid w:val="00D115CB"/>
    <w:rsid w:val="00D1194D"/>
    <w:rsid w:val="00D15899"/>
    <w:rsid w:val="00D173DF"/>
    <w:rsid w:val="00D175B6"/>
    <w:rsid w:val="00D20820"/>
    <w:rsid w:val="00D20A6F"/>
    <w:rsid w:val="00D21ECC"/>
    <w:rsid w:val="00D303DF"/>
    <w:rsid w:val="00D36659"/>
    <w:rsid w:val="00D3693C"/>
    <w:rsid w:val="00D36FB0"/>
    <w:rsid w:val="00D40B2C"/>
    <w:rsid w:val="00D40C47"/>
    <w:rsid w:val="00D438BD"/>
    <w:rsid w:val="00D46227"/>
    <w:rsid w:val="00D479A1"/>
    <w:rsid w:val="00D5045F"/>
    <w:rsid w:val="00D51229"/>
    <w:rsid w:val="00D528FD"/>
    <w:rsid w:val="00D5571D"/>
    <w:rsid w:val="00D561A7"/>
    <w:rsid w:val="00D56403"/>
    <w:rsid w:val="00D56689"/>
    <w:rsid w:val="00D668DC"/>
    <w:rsid w:val="00D720C2"/>
    <w:rsid w:val="00D7393B"/>
    <w:rsid w:val="00D76897"/>
    <w:rsid w:val="00D8175C"/>
    <w:rsid w:val="00D82038"/>
    <w:rsid w:val="00D837C8"/>
    <w:rsid w:val="00D87E05"/>
    <w:rsid w:val="00D91950"/>
    <w:rsid w:val="00D9236C"/>
    <w:rsid w:val="00D946AA"/>
    <w:rsid w:val="00DA2399"/>
    <w:rsid w:val="00DA36DE"/>
    <w:rsid w:val="00DA4393"/>
    <w:rsid w:val="00DA61BD"/>
    <w:rsid w:val="00DA6DF1"/>
    <w:rsid w:val="00DA76E0"/>
    <w:rsid w:val="00DB0563"/>
    <w:rsid w:val="00DC0BD1"/>
    <w:rsid w:val="00DC5A27"/>
    <w:rsid w:val="00DC7185"/>
    <w:rsid w:val="00DD024F"/>
    <w:rsid w:val="00DD0C27"/>
    <w:rsid w:val="00DD1684"/>
    <w:rsid w:val="00DE2071"/>
    <w:rsid w:val="00DE2C4F"/>
    <w:rsid w:val="00DE2C63"/>
    <w:rsid w:val="00DE2F4B"/>
    <w:rsid w:val="00DE6866"/>
    <w:rsid w:val="00DE75AF"/>
    <w:rsid w:val="00DF4AE9"/>
    <w:rsid w:val="00DF5DDF"/>
    <w:rsid w:val="00DF6343"/>
    <w:rsid w:val="00DF700A"/>
    <w:rsid w:val="00E00248"/>
    <w:rsid w:val="00E01754"/>
    <w:rsid w:val="00E06FC0"/>
    <w:rsid w:val="00E073D4"/>
    <w:rsid w:val="00E10ADA"/>
    <w:rsid w:val="00E143A3"/>
    <w:rsid w:val="00E20701"/>
    <w:rsid w:val="00E21389"/>
    <w:rsid w:val="00E22063"/>
    <w:rsid w:val="00E236AB"/>
    <w:rsid w:val="00E24E2C"/>
    <w:rsid w:val="00E265CE"/>
    <w:rsid w:val="00E30462"/>
    <w:rsid w:val="00E3174C"/>
    <w:rsid w:val="00E34456"/>
    <w:rsid w:val="00E37900"/>
    <w:rsid w:val="00E41EE1"/>
    <w:rsid w:val="00E50859"/>
    <w:rsid w:val="00E5255C"/>
    <w:rsid w:val="00E52B33"/>
    <w:rsid w:val="00E53B21"/>
    <w:rsid w:val="00E54A75"/>
    <w:rsid w:val="00E571FF"/>
    <w:rsid w:val="00E57E38"/>
    <w:rsid w:val="00E61274"/>
    <w:rsid w:val="00E63A76"/>
    <w:rsid w:val="00E70FAC"/>
    <w:rsid w:val="00E7230B"/>
    <w:rsid w:val="00E734B5"/>
    <w:rsid w:val="00E73DA7"/>
    <w:rsid w:val="00E7590F"/>
    <w:rsid w:val="00E8002D"/>
    <w:rsid w:val="00E811E6"/>
    <w:rsid w:val="00E842E4"/>
    <w:rsid w:val="00E86EE5"/>
    <w:rsid w:val="00E877EA"/>
    <w:rsid w:val="00E904F6"/>
    <w:rsid w:val="00E9126B"/>
    <w:rsid w:val="00E91B49"/>
    <w:rsid w:val="00E92F6D"/>
    <w:rsid w:val="00EA29F8"/>
    <w:rsid w:val="00EA4A27"/>
    <w:rsid w:val="00EA6E4B"/>
    <w:rsid w:val="00EA7A53"/>
    <w:rsid w:val="00EA7B8C"/>
    <w:rsid w:val="00EB0A86"/>
    <w:rsid w:val="00EB0A9B"/>
    <w:rsid w:val="00EB2DEE"/>
    <w:rsid w:val="00EB4FCD"/>
    <w:rsid w:val="00EC015B"/>
    <w:rsid w:val="00EC1847"/>
    <w:rsid w:val="00EC3867"/>
    <w:rsid w:val="00EC64E2"/>
    <w:rsid w:val="00EC71D5"/>
    <w:rsid w:val="00ED1B04"/>
    <w:rsid w:val="00ED29F5"/>
    <w:rsid w:val="00ED4D6B"/>
    <w:rsid w:val="00ED5D05"/>
    <w:rsid w:val="00EE185E"/>
    <w:rsid w:val="00EE291C"/>
    <w:rsid w:val="00EE6934"/>
    <w:rsid w:val="00EE6BAC"/>
    <w:rsid w:val="00EF0F26"/>
    <w:rsid w:val="00EF168A"/>
    <w:rsid w:val="00EF2897"/>
    <w:rsid w:val="00EF5F7E"/>
    <w:rsid w:val="00EF69C7"/>
    <w:rsid w:val="00EF75AE"/>
    <w:rsid w:val="00EF7EAA"/>
    <w:rsid w:val="00F04517"/>
    <w:rsid w:val="00F061B8"/>
    <w:rsid w:val="00F0722A"/>
    <w:rsid w:val="00F11AEF"/>
    <w:rsid w:val="00F13600"/>
    <w:rsid w:val="00F16187"/>
    <w:rsid w:val="00F20BAA"/>
    <w:rsid w:val="00F238C8"/>
    <w:rsid w:val="00F27B2B"/>
    <w:rsid w:val="00F27B39"/>
    <w:rsid w:val="00F27D0E"/>
    <w:rsid w:val="00F34267"/>
    <w:rsid w:val="00F34912"/>
    <w:rsid w:val="00F35245"/>
    <w:rsid w:val="00F354D9"/>
    <w:rsid w:val="00F36F02"/>
    <w:rsid w:val="00F41D17"/>
    <w:rsid w:val="00F45E90"/>
    <w:rsid w:val="00F516DF"/>
    <w:rsid w:val="00F56B50"/>
    <w:rsid w:val="00F56B53"/>
    <w:rsid w:val="00F67B3C"/>
    <w:rsid w:val="00F701D2"/>
    <w:rsid w:val="00F70B83"/>
    <w:rsid w:val="00F71F67"/>
    <w:rsid w:val="00F762CB"/>
    <w:rsid w:val="00F779CC"/>
    <w:rsid w:val="00F77D58"/>
    <w:rsid w:val="00F80A91"/>
    <w:rsid w:val="00F81519"/>
    <w:rsid w:val="00F81628"/>
    <w:rsid w:val="00F81EAB"/>
    <w:rsid w:val="00F85040"/>
    <w:rsid w:val="00F94686"/>
    <w:rsid w:val="00F95F9F"/>
    <w:rsid w:val="00F9682C"/>
    <w:rsid w:val="00FA00B1"/>
    <w:rsid w:val="00FA3B2A"/>
    <w:rsid w:val="00FA52F8"/>
    <w:rsid w:val="00FB4898"/>
    <w:rsid w:val="00FB5065"/>
    <w:rsid w:val="00FC0510"/>
    <w:rsid w:val="00FC1F81"/>
    <w:rsid w:val="00FC2F84"/>
    <w:rsid w:val="00FC4108"/>
    <w:rsid w:val="00FC49E9"/>
    <w:rsid w:val="00FC5959"/>
    <w:rsid w:val="00FC6FB4"/>
    <w:rsid w:val="00FC7A77"/>
    <w:rsid w:val="00FC7AF0"/>
    <w:rsid w:val="00FD239E"/>
    <w:rsid w:val="00FD2836"/>
    <w:rsid w:val="00FD64DC"/>
    <w:rsid w:val="00FE21FB"/>
    <w:rsid w:val="00FE50EA"/>
    <w:rsid w:val="00FE63AD"/>
    <w:rsid w:val="00FE6508"/>
    <w:rsid w:val="00FE691F"/>
    <w:rsid w:val="00FF3614"/>
    <w:rsid w:val="00FF5B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61274"/>
  </w:style>
  <w:style w:type="paragraph" w:styleId="Nagwek1">
    <w:name w:val="heading 1"/>
    <w:basedOn w:val="Normalny"/>
    <w:next w:val="Normalny"/>
    <w:link w:val="Nagwek1Znak"/>
    <w:qFormat/>
    <w:rsid w:val="004335D2"/>
    <w:pPr>
      <w:keepNext/>
      <w:keepLines/>
      <w:numPr>
        <w:numId w:val="14"/>
      </w:numPr>
      <w:spacing w:before="631" w:after="452" w:line="240" w:lineRule="auto"/>
      <w:outlineLvl w:val="0"/>
    </w:pPr>
    <w:rPr>
      <w:rFonts w:ascii="Times New Roman" w:eastAsia="Times New Roman" w:hAnsi="Times New Roman" w:cs="Times New Roman"/>
      <w:b/>
      <w:kern w:val="28"/>
      <w:sz w:val="29"/>
      <w:szCs w:val="20"/>
      <w:lang w:eastAsia="pl-PL"/>
    </w:rPr>
  </w:style>
  <w:style w:type="paragraph" w:styleId="Nagwek2">
    <w:name w:val="heading 2"/>
    <w:basedOn w:val="Normalny"/>
    <w:next w:val="Normalny"/>
    <w:link w:val="Nagwek2Znak"/>
    <w:uiPriority w:val="9"/>
    <w:semiHidden/>
    <w:unhideWhenUsed/>
    <w:qFormat/>
    <w:rsid w:val="00787A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61274"/>
    <w:pPr>
      <w:ind w:left="720"/>
      <w:contextualSpacing/>
    </w:pPr>
  </w:style>
  <w:style w:type="character" w:styleId="Hipercze">
    <w:name w:val="Hyperlink"/>
    <w:basedOn w:val="Domylnaczcionkaakapitu"/>
    <w:uiPriority w:val="99"/>
    <w:unhideWhenUsed/>
    <w:rsid w:val="006D1505"/>
    <w:rPr>
      <w:color w:val="0000FF" w:themeColor="hyperlink"/>
      <w:u w:val="single"/>
    </w:rPr>
  </w:style>
  <w:style w:type="paragraph" w:styleId="Tekstdymka">
    <w:name w:val="Balloon Text"/>
    <w:basedOn w:val="Normalny"/>
    <w:link w:val="TekstdymkaZnak"/>
    <w:uiPriority w:val="99"/>
    <w:semiHidden/>
    <w:unhideWhenUsed/>
    <w:rsid w:val="00C7148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71485"/>
    <w:rPr>
      <w:rFonts w:ascii="Tahoma" w:hAnsi="Tahoma" w:cs="Tahoma"/>
      <w:sz w:val="16"/>
      <w:szCs w:val="16"/>
    </w:rPr>
  </w:style>
  <w:style w:type="paragraph" w:styleId="Tekstprzypisudolnego">
    <w:name w:val="footnote text"/>
    <w:basedOn w:val="Normalny"/>
    <w:link w:val="TekstprzypisudolnegoZnak"/>
    <w:uiPriority w:val="99"/>
    <w:semiHidden/>
    <w:unhideWhenUsed/>
    <w:rsid w:val="007E455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E4550"/>
    <w:rPr>
      <w:sz w:val="20"/>
      <w:szCs w:val="20"/>
    </w:rPr>
  </w:style>
  <w:style w:type="character" w:styleId="Odwoanieprzypisudolnego">
    <w:name w:val="footnote reference"/>
    <w:basedOn w:val="Domylnaczcionkaakapitu"/>
    <w:uiPriority w:val="99"/>
    <w:semiHidden/>
    <w:unhideWhenUsed/>
    <w:rsid w:val="007E4550"/>
    <w:rPr>
      <w:vertAlign w:val="superscript"/>
    </w:rPr>
  </w:style>
  <w:style w:type="table" w:styleId="Tabela-Siatka">
    <w:name w:val="Table Grid"/>
    <w:basedOn w:val="Standardowy"/>
    <w:uiPriority w:val="59"/>
    <w:rsid w:val="00982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1F67"/>
    <w:pPr>
      <w:autoSpaceDE w:val="0"/>
      <w:autoSpaceDN w:val="0"/>
      <w:adjustRightInd w:val="0"/>
      <w:spacing w:after="0" w:line="240" w:lineRule="auto"/>
    </w:pPr>
    <w:rPr>
      <w:rFonts w:ascii="Calibri" w:hAnsi="Calibri" w:cs="Calibri"/>
      <w:color w:val="000000"/>
      <w:sz w:val="24"/>
      <w:szCs w:val="24"/>
    </w:rPr>
  </w:style>
  <w:style w:type="character" w:styleId="UyteHipercze">
    <w:name w:val="FollowedHyperlink"/>
    <w:basedOn w:val="Domylnaczcionkaakapitu"/>
    <w:uiPriority w:val="99"/>
    <w:semiHidden/>
    <w:unhideWhenUsed/>
    <w:rsid w:val="00BA1EB7"/>
    <w:rPr>
      <w:color w:val="800080" w:themeColor="followedHyperlink"/>
      <w:u w:val="single"/>
    </w:rPr>
  </w:style>
  <w:style w:type="character" w:styleId="Odwoaniedokomentarza">
    <w:name w:val="annotation reference"/>
    <w:basedOn w:val="Domylnaczcionkaakapitu"/>
    <w:uiPriority w:val="99"/>
    <w:semiHidden/>
    <w:unhideWhenUsed/>
    <w:rsid w:val="006067B3"/>
    <w:rPr>
      <w:sz w:val="16"/>
      <w:szCs w:val="16"/>
    </w:rPr>
  </w:style>
  <w:style w:type="paragraph" w:styleId="Tekstkomentarza">
    <w:name w:val="annotation text"/>
    <w:basedOn w:val="Normalny"/>
    <w:link w:val="TekstkomentarzaZnak"/>
    <w:uiPriority w:val="99"/>
    <w:semiHidden/>
    <w:unhideWhenUsed/>
    <w:rsid w:val="006067B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067B3"/>
    <w:rPr>
      <w:sz w:val="20"/>
      <w:szCs w:val="20"/>
    </w:rPr>
  </w:style>
  <w:style w:type="paragraph" w:styleId="Tematkomentarza">
    <w:name w:val="annotation subject"/>
    <w:basedOn w:val="Tekstkomentarza"/>
    <w:next w:val="Tekstkomentarza"/>
    <w:link w:val="TematkomentarzaZnak"/>
    <w:uiPriority w:val="99"/>
    <w:semiHidden/>
    <w:unhideWhenUsed/>
    <w:rsid w:val="006067B3"/>
    <w:rPr>
      <w:b/>
      <w:bCs/>
    </w:rPr>
  </w:style>
  <w:style w:type="character" w:customStyle="1" w:styleId="TematkomentarzaZnak">
    <w:name w:val="Temat komentarza Znak"/>
    <w:basedOn w:val="TekstkomentarzaZnak"/>
    <w:link w:val="Tematkomentarza"/>
    <w:uiPriority w:val="99"/>
    <w:semiHidden/>
    <w:rsid w:val="006067B3"/>
    <w:rPr>
      <w:b/>
      <w:bCs/>
      <w:sz w:val="20"/>
      <w:szCs w:val="20"/>
    </w:rPr>
  </w:style>
  <w:style w:type="paragraph" w:styleId="Poprawka">
    <w:name w:val="Revision"/>
    <w:hidden/>
    <w:uiPriority w:val="99"/>
    <w:semiHidden/>
    <w:rsid w:val="00136717"/>
    <w:pPr>
      <w:spacing w:after="0" w:line="240" w:lineRule="auto"/>
    </w:pPr>
  </w:style>
  <w:style w:type="table" w:styleId="rednialista2akcent1">
    <w:name w:val="Medium List 2 Accent 1"/>
    <w:basedOn w:val="Standardowy"/>
    <w:uiPriority w:val="66"/>
    <w:rsid w:val="00F27B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agwek">
    <w:name w:val="header"/>
    <w:basedOn w:val="Normalny"/>
    <w:link w:val="NagwekZnak"/>
    <w:uiPriority w:val="99"/>
    <w:semiHidden/>
    <w:unhideWhenUsed/>
    <w:rsid w:val="007938AF"/>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7938AF"/>
  </w:style>
  <w:style w:type="paragraph" w:styleId="Stopka">
    <w:name w:val="footer"/>
    <w:basedOn w:val="Normalny"/>
    <w:link w:val="StopkaZnak"/>
    <w:uiPriority w:val="99"/>
    <w:semiHidden/>
    <w:unhideWhenUsed/>
    <w:rsid w:val="007938AF"/>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7938AF"/>
  </w:style>
  <w:style w:type="character" w:styleId="Pogrubienie">
    <w:name w:val="Strong"/>
    <w:basedOn w:val="Domylnaczcionkaakapitu"/>
    <w:uiPriority w:val="22"/>
    <w:qFormat/>
    <w:rsid w:val="00706AC8"/>
    <w:rPr>
      <w:b/>
      <w:bCs/>
    </w:rPr>
  </w:style>
  <w:style w:type="character" w:styleId="Uwydatnienie">
    <w:name w:val="Emphasis"/>
    <w:basedOn w:val="Domylnaczcionkaakapitu"/>
    <w:uiPriority w:val="20"/>
    <w:qFormat/>
    <w:rsid w:val="009D5718"/>
    <w:rPr>
      <w:i/>
      <w:iCs/>
    </w:rPr>
  </w:style>
  <w:style w:type="character" w:customStyle="1" w:styleId="Nagwek1Znak">
    <w:name w:val="Nagłówek 1 Znak"/>
    <w:basedOn w:val="Domylnaczcionkaakapitu"/>
    <w:link w:val="Nagwek1"/>
    <w:rsid w:val="004335D2"/>
    <w:rPr>
      <w:rFonts w:ascii="Times New Roman" w:eastAsia="Times New Roman" w:hAnsi="Times New Roman" w:cs="Times New Roman"/>
      <w:b/>
      <w:kern w:val="28"/>
      <w:sz w:val="29"/>
      <w:szCs w:val="20"/>
      <w:lang w:eastAsia="pl-PL"/>
    </w:rPr>
  </w:style>
  <w:style w:type="paragraph" w:customStyle="1" w:styleId="tytulart">
    <w:name w:val="tytul_art"/>
    <w:basedOn w:val="Normalny"/>
    <w:next w:val="Normalny"/>
    <w:rsid w:val="004335D2"/>
    <w:pPr>
      <w:keepLines/>
      <w:spacing w:before="1022" w:after="727" w:line="240" w:lineRule="auto"/>
    </w:pPr>
    <w:rPr>
      <w:rFonts w:ascii="Times New Roman" w:eastAsia="Times New Roman" w:hAnsi="Times New Roman" w:cs="Times New Roman"/>
      <w:b/>
      <w:sz w:val="29"/>
      <w:szCs w:val="20"/>
      <w:lang w:eastAsia="pl-PL"/>
    </w:rPr>
  </w:style>
  <w:style w:type="paragraph" w:customStyle="1" w:styleId="nazwainstyt">
    <w:name w:val="nazwa_instyt"/>
    <w:basedOn w:val="Normalny"/>
    <w:next w:val="Normalny"/>
    <w:rsid w:val="004335D2"/>
    <w:pPr>
      <w:spacing w:after="0" w:line="240" w:lineRule="auto"/>
    </w:pPr>
    <w:rPr>
      <w:rFonts w:ascii="Times New Roman" w:eastAsia="Times New Roman" w:hAnsi="Times New Roman" w:cs="Times New Roman"/>
      <w:sz w:val="24"/>
      <w:szCs w:val="20"/>
      <w:lang w:eastAsia="pl-PL"/>
    </w:rPr>
  </w:style>
  <w:style w:type="paragraph" w:customStyle="1" w:styleId="tytulartang">
    <w:name w:val="tytul_art_ang"/>
    <w:basedOn w:val="Normalny"/>
    <w:next w:val="Normalny"/>
    <w:rsid w:val="004335D2"/>
    <w:pPr>
      <w:spacing w:before="706" w:after="440" w:line="240" w:lineRule="auto"/>
    </w:pPr>
    <w:rPr>
      <w:rFonts w:ascii="Times New Roman" w:eastAsia="Times New Roman" w:hAnsi="Times New Roman" w:cs="Times New Roman"/>
      <w:sz w:val="29"/>
      <w:szCs w:val="20"/>
      <w:lang w:eastAsia="pl-PL"/>
    </w:rPr>
  </w:style>
  <w:style w:type="paragraph" w:customStyle="1" w:styleId="streszangkrotkie">
    <w:name w:val="stresz_ang_krotkie"/>
    <w:basedOn w:val="Normalny"/>
    <w:link w:val="streszangkrotkieZnak"/>
    <w:rsid w:val="004335D2"/>
    <w:pPr>
      <w:spacing w:after="0" w:line="240" w:lineRule="auto"/>
      <w:ind w:left="720" w:firstLine="357"/>
      <w:jc w:val="both"/>
    </w:pPr>
    <w:rPr>
      <w:rFonts w:ascii="Times New Roman" w:eastAsia="Times New Roman" w:hAnsi="Times New Roman" w:cs="Times New Roman"/>
      <w:sz w:val="24"/>
      <w:szCs w:val="20"/>
      <w:lang w:eastAsia="pl-PL"/>
    </w:rPr>
  </w:style>
  <w:style w:type="character" w:customStyle="1" w:styleId="streszangkrotkieZnak">
    <w:name w:val="stresz_ang_krotkie Znak"/>
    <w:basedOn w:val="Domylnaczcionkaakapitu"/>
    <w:link w:val="streszangkrotkie"/>
    <w:rsid w:val="004335D2"/>
    <w:rPr>
      <w:rFonts w:ascii="Times New Roman" w:eastAsia="Times New Roman" w:hAnsi="Times New Roman" w:cs="Times New Roman"/>
      <w:sz w:val="24"/>
      <w:szCs w:val="20"/>
      <w:lang w:eastAsia="pl-PL"/>
    </w:rPr>
  </w:style>
  <w:style w:type="paragraph" w:customStyle="1" w:styleId="tekstpods">
    <w:name w:val="tekst_pods"/>
    <w:basedOn w:val="Normalny"/>
    <w:rsid w:val="00DF6343"/>
    <w:pPr>
      <w:spacing w:after="0" w:line="312" w:lineRule="auto"/>
      <w:ind w:firstLine="363"/>
      <w:jc w:val="both"/>
    </w:pPr>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uiPriority w:val="9"/>
    <w:semiHidden/>
    <w:rsid w:val="00787ACA"/>
    <w:rPr>
      <w:rFonts w:asciiTheme="majorHAnsi" w:eastAsiaTheme="majorEastAsia" w:hAnsiTheme="majorHAnsi" w:cstheme="majorBidi"/>
      <w:b/>
      <w:bCs/>
      <w:color w:val="4F81BD" w:themeColor="accent1"/>
      <w:sz w:val="26"/>
      <w:szCs w:val="26"/>
    </w:rPr>
  </w:style>
  <w:style w:type="paragraph" w:customStyle="1" w:styleId="literattytul">
    <w:name w:val="literat_tytul"/>
    <w:basedOn w:val="tekstpods"/>
    <w:next w:val="tekstpods"/>
    <w:rsid w:val="004822DE"/>
    <w:pPr>
      <w:keepNext/>
      <w:spacing w:before="650" w:after="446" w:line="240" w:lineRule="auto"/>
      <w:ind w:firstLine="0"/>
      <w:jc w:val="left"/>
    </w:pPr>
    <w:rPr>
      <w:b/>
    </w:rPr>
  </w:style>
  <w:style w:type="paragraph" w:customStyle="1" w:styleId="literatwykaz">
    <w:name w:val="literat_wykaz"/>
    <w:basedOn w:val="tekstpods"/>
    <w:next w:val="tekstpods"/>
    <w:rsid w:val="004822DE"/>
    <w:pPr>
      <w:ind w:firstLine="0"/>
    </w:pPr>
    <w:rPr>
      <w:spacing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61274"/>
  </w:style>
  <w:style w:type="paragraph" w:styleId="Nagwek1">
    <w:name w:val="heading 1"/>
    <w:basedOn w:val="Normalny"/>
    <w:next w:val="Normalny"/>
    <w:link w:val="Nagwek1Znak"/>
    <w:qFormat/>
    <w:rsid w:val="004335D2"/>
    <w:pPr>
      <w:keepNext/>
      <w:keepLines/>
      <w:numPr>
        <w:numId w:val="14"/>
      </w:numPr>
      <w:spacing w:before="631" w:after="452" w:line="240" w:lineRule="auto"/>
      <w:outlineLvl w:val="0"/>
    </w:pPr>
    <w:rPr>
      <w:rFonts w:ascii="Times New Roman" w:eastAsia="Times New Roman" w:hAnsi="Times New Roman" w:cs="Times New Roman"/>
      <w:b/>
      <w:kern w:val="28"/>
      <w:sz w:val="29"/>
      <w:szCs w:val="20"/>
      <w:lang w:eastAsia="pl-PL"/>
    </w:rPr>
  </w:style>
  <w:style w:type="paragraph" w:styleId="Nagwek2">
    <w:name w:val="heading 2"/>
    <w:basedOn w:val="Normalny"/>
    <w:next w:val="Normalny"/>
    <w:link w:val="Nagwek2Znak"/>
    <w:uiPriority w:val="9"/>
    <w:semiHidden/>
    <w:unhideWhenUsed/>
    <w:qFormat/>
    <w:rsid w:val="00787A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61274"/>
    <w:pPr>
      <w:ind w:left="720"/>
      <w:contextualSpacing/>
    </w:pPr>
  </w:style>
  <w:style w:type="character" w:styleId="Hipercze">
    <w:name w:val="Hyperlink"/>
    <w:basedOn w:val="Domylnaczcionkaakapitu"/>
    <w:uiPriority w:val="99"/>
    <w:unhideWhenUsed/>
    <w:rsid w:val="006D1505"/>
    <w:rPr>
      <w:color w:val="0000FF" w:themeColor="hyperlink"/>
      <w:u w:val="single"/>
    </w:rPr>
  </w:style>
  <w:style w:type="paragraph" w:styleId="Tekstdymka">
    <w:name w:val="Balloon Text"/>
    <w:basedOn w:val="Normalny"/>
    <w:link w:val="TekstdymkaZnak"/>
    <w:uiPriority w:val="99"/>
    <w:semiHidden/>
    <w:unhideWhenUsed/>
    <w:rsid w:val="00C7148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71485"/>
    <w:rPr>
      <w:rFonts w:ascii="Tahoma" w:hAnsi="Tahoma" w:cs="Tahoma"/>
      <w:sz w:val="16"/>
      <w:szCs w:val="16"/>
    </w:rPr>
  </w:style>
  <w:style w:type="paragraph" w:styleId="Tekstprzypisudolnego">
    <w:name w:val="footnote text"/>
    <w:basedOn w:val="Normalny"/>
    <w:link w:val="TekstprzypisudolnegoZnak"/>
    <w:uiPriority w:val="99"/>
    <w:semiHidden/>
    <w:unhideWhenUsed/>
    <w:rsid w:val="007E455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E4550"/>
    <w:rPr>
      <w:sz w:val="20"/>
      <w:szCs w:val="20"/>
    </w:rPr>
  </w:style>
  <w:style w:type="character" w:styleId="Odwoanieprzypisudolnego">
    <w:name w:val="footnote reference"/>
    <w:basedOn w:val="Domylnaczcionkaakapitu"/>
    <w:uiPriority w:val="99"/>
    <w:semiHidden/>
    <w:unhideWhenUsed/>
    <w:rsid w:val="007E4550"/>
    <w:rPr>
      <w:vertAlign w:val="superscript"/>
    </w:rPr>
  </w:style>
  <w:style w:type="table" w:styleId="Tabela-Siatka">
    <w:name w:val="Table Grid"/>
    <w:basedOn w:val="Standardowy"/>
    <w:uiPriority w:val="59"/>
    <w:rsid w:val="00982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1F67"/>
    <w:pPr>
      <w:autoSpaceDE w:val="0"/>
      <w:autoSpaceDN w:val="0"/>
      <w:adjustRightInd w:val="0"/>
      <w:spacing w:after="0" w:line="240" w:lineRule="auto"/>
    </w:pPr>
    <w:rPr>
      <w:rFonts w:ascii="Calibri" w:hAnsi="Calibri" w:cs="Calibri"/>
      <w:color w:val="000000"/>
      <w:sz w:val="24"/>
      <w:szCs w:val="24"/>
    </w:rPr>
  </w:style>
  <w:style w:type="character" w:styleId="UyteHipercze">
    <w:name w:val="FollowedHyperlink"/>
    <w:basedOn w:val="Domylnaczcionkaakapitu"/>
    <w:uiPriority w:val="99"/>
    <w:semiHidden/>
    <w:unhideWhenUsed/>
    <w:rsid w:val="00BA1EB7"/>
    <w:rPr>
      <w:color w:val="800080" w:themeColor="followedHyperlink"/>
      <w:u w:val="single"/>
    </w:rPr>
  </w:style>
  <w:style w:type="character" w:styleId="Odwoaniedokomentarza">
    <w:name w:val="annotation reference"/>
    <w:basedOn w:val="Domylnaczcionkaakapitu"/>
    <w:uiPriority w:val="99"/>
    <w:semiHidden/>
    <w:unhideWhenUsed/>
    <w:rsid w:val="006067B3"/>
    <w:rPr>
      <w:sz w:val="16"/>
      <w:szCs w:val="16"/>
    </w:rPr>
  </w:style>
  <w:style w:type="paragraph" w:styleId="Tekstkomentarza">
    <w:name w:val="annotation text"/>
    <w:basedOn w:val="Normalny"/>
    <w:link w:val="TekstkomentarzaZnak"/>
    <w:uiPriority w:val="99"/>
    <w:semiHidden/>
    <w:unhideWhenUsed/>
    <w:rsid w:val="006067B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067B3"/>
    <w:rPr>
      <w:sz w:val="20"/>
      <w:szCs w:val="20"/>
    </w:rPr>
  </w:style>
  <w:style w:type="paragraph" w:styleId="Tematkomentarza">
    <w:name w:val="annotation subject"/>
    <w:basedOn w:val="Tekstkomentarza"/>
    <w:next w:val="Tekstkomentarza"/>
    <w:link w:val="TematkomentarzaZnak"/>
    <w:uiPriority w:val="99"/>
    <w:semiHidden/>
    <w:unhideWhenUsed/>
    <w:rsid w:val="006067B3"/>
    <w:rPr>
      <w:b/>
      <w:bCs/>
    </w:rPr>
  </w:style>
  <w:style w:type="character" w:customStyle="1" w:styleId="TematkomentarzaZnak">
    <w:name w:val="Temat komentarza Znak"/>
    <w:basedOn w:val="TekstkomentarzaZnak"/>
    <w:link w:val="Tematkomentarza"/>
    <w:uiPriority w:val="99"/>
    <w:semiHidden/>
    <w:rsid w:val="006067B3"/>
    <w:rPr>
      <w:b/>
      <w:bCs/>
      <w:sz w:val="20"/>
      <w:szCs w:val="20"/>
    </w:rPr>
  </w:style>
  <w:style w:type="paragraph" w:styleId="Poprawka">
    <w:name w:val="Revision"/>
    <w:hidden/>
    <w:uiPriority w:val="99"/>
    <w:semiHidden/>
    <w:rsid w:val="00136717"/>
    <w:pPr>
      <w:spacing w:after="0" w:line="240" w:lineRule="auto"/>
    </w:pPr>
  </w:style>
  <w:style w:type="table" w:styleId="rednialista2akcent1">
    <w:name w:val="Medium List 2 Accent 1"/>
    <w:basedOn w:val="Standardowy"/>
    <w:uiPriority w:val="66"/>
    <w:rsid w:val="00F27B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agwek">
    <w:name w:val="header"/>
    <w:basedOn w:val="Normalny"/>
    <w:link w:val="NagwekZnak"/>
    <w:uiPriority w:val="99"/>
    <w:semiHidden/>
    <w:unhideWhenUsed/>
    <w:rsid w:val="007938AF"/>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7938AF"/>
  </w:style>
  <w:style w:type="paragraph" w:styleId="Stopka">
    <w:name w:val="footer"/>
    <w:basedOn w:val="Normalny"/>
    <w:link w:val="StopkaZnak"/>
    <w:uiPriority w:val="99"/>
    <w:semiHidden/>
    <w:unhideWhenUsed/>
    <w:rsid w:val="007938AF"/>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7938AF"/>
  </w:style>
  <w:style w:type="character" w:styleId="Pogrubienie">
    <w:name w:val="Strong"/>
    <w:basedOn w:val="Domylnaczcionkaakapitu"/>
    <w:uiPriority w:val="22"/>
    <w:qFormat/>
    <w:rsid w:val="00706AC8"/>
    <w:rPr>
      <w:b/>
      <w:bCs/>
    </w:rPr>
  </w:style>
  <w:style w:type="character" w:styleId="Uwydatnienie">
    <w:name w:val="Emphasis"/>
    <w:basedOn w:val="Domylnaczcionkaakapitu"/>
    <w:uiPriority w:val="20"/>
    <w:qFormat/>
    <w:rsid w:val="009D5718"/>
    <w:rPr>
      <w:i/>
      <w:iCs/>
    </w:rPr>
  </w:style>
  <w:style w:type="character" w:customStyle="1" w:styleId="Nagwek1Znak">
    <w:name w:val="Nagłówek 1 Znak"/>
    <w:basedOn w:val="Domylnaczcionkaakapitu"/>
    <w:link w:val="Nagwek1"/>
    <w:rsid w:val="004335D2"/>
    <w:rPr>
      <w:rFonts w:ascii="Times New Roman" w:eastAsia="Times New Roman" w:hAnsi="Times New Roman" w:cs="Times New Roman"/>
      <w:b/>
      <w:kern w:val="28"/>
      <w:sz w:val="29"/>
      <w:szCs w:val="20"/>
      <w:lang w:eastAsia="pl-PL"/>
    </w:rPr>
  </w:style>
  <w:style w:type="paragraph" w:customStyle="1" w:styleId="tytulart">
    <w:name w:val="tytul_art"/>
    <w:basedOn w:val="Normalny"/>
    <w:next w:val="Normalny"/>
    <w:rsid w:val="004335D2"/>
    <w:pPr>
      <w:keepLines/>
      <w:spacing w:before="1022" w:after="727" w:line="240" w:lineRule="auto"/>
    </w:pPr>
    <w:rPr>
      <w:rFonts w:ascii="Times New Roman" w:eastAsia="Times New Roman" w:hAnsi="Times New Roman" w:cs="Times New Roman"/>
      <w:b/>
      <w:sz w:val="29"/>
      <w:szCs w:val="20"/>
      <w:lang w:eastAsia="pl-PL"/>
    </w:rPr>
  </w:style>
  <w:style w:type="paragraph" w:customStyle="1" w:styleId="nazwainstyt">
    <w:name w:val="nazwa_instyt"/>
    <w:basedOn w:val="Normalny"/>
    <w:next w:val="Normalny"/>
    <w:rsid w:val="004335D2"/>
    <w:pPr>
      <w:spacing w:after="0" w:line="240" w:lineRule="auto"/>
    </w:pPr>
    <w:rPr>
      <w:rFonts w:ascii="Times New Roman" w:eastAsia="Times New Roman" w:hAnsi="Times New Roman" w:cs="Times New Roman"/>
      <w:sz w:val="24"/>
      <w:szCs w:val="20"/>
      <w:lang w:eastAsia="pl-PL"/>
    </w:rPr>
  </w:style>
  <w:style w:type="paragraph" w:customStyle="1" w:styleId="tytulartang">
    <w:name w:val="tytul_art_ang"/>
    <w:basedOn w:val="Normalny"/>
    <w:next w:val="Normalny"/>
    <w:rsid w:val="004335D2"/>
    <w:pPr>
      <w:spacing w:before="706" w:after="440" w:line="240" w:lineRule="auto"/>
    </w:pPr>
    <w:rPr>
      <w:rFonts w:ascii="Times New Roman" w:eastAsia="Times New Roman" w:hAnsi="Times New Roman" w:cs="Times New Roman"/>
      <w:sz w:val="29"/>
      <w:szCs w:val="20"/>
      <w:lang w:eastAsia="pl-PL"/>
    </w:rPr>
  </w:style>
  <w:style w:type="paragraph" w:customStyle="1" w:styleId="streszangkrotkie">
    <w:name w:val="stresz_ang_krotkie"/>
    <w:basedOn w:val="Normalny"/>
    <w:link w:val="streszangkrotkieZnak"/>
    <w:rsid w:val="004335D2"/>
    <w:pPr>
      <w:spacing w:after="0" w:line="240" w:lineRule="auto"/>
      <w:ind w:left="720" w:firstLine="357"/>
      <w:jc w:val="both"/>
    </w:pPr>
    <w:rPr>
      <w:rFonts w:ascii="Times New Roman" w:eastAsia="Times New Roman" w:hAnsi="Times New Roman" w:cs="Times New Roman"/>
      <w:sz w:val="24"/>
      <w:szCs w:val="20"/>
      <w:lang w:eastAsia="pl-PL"/>
    </w:rPr>
  </w:style>
  <w:style w:type="character" w:customStyle="1" w:styleId="streszangkrotkieZnak">
    <w:name w:val="stresz_ang_krotkie Znak"/>
    <w:basedOn w:val="Domylnaczcionkaakapitu"/>
    <w:link w:val="streszangkrotkie"/>
    <w:rsid w:val="004335D2"/>
    <w:rPr>
      <w:rFonts w:ascii="Times New Roman" w:eastAsia="Times New Roman" w:hAnsi="Times New Roman" w:cs="Times New Roman"/>
      <w:sz w:val="24"/>
      <w:szCs w:val="20"/>
      <w:lang w:eastAsia="pl-PL"/>
    </w:rPr>
  </w:style>
  <w:style w:type="paragraph" w:customStyle="1" w:styleId="tekstpods">
    <w:name w:val="tekst_pods"/>
    <w:basedOn w:val="Normalny"/>
    <w:rsid w:val="00DF6343"/>
    <w:pPr>
      <w:spacing w:after="0" w:line="312" w:lineRule="auto"/>
      <w:ind w:firstLine="363"/>
      <w:jc w:val="both"/>
    </w:pPr>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uiPriority w:val="9"/>
    <w:semiHidden/>
    <w:rsid w:val="00787ACA"/>
    <w:rPr>
      <w:rFonts w:asciiTheme="majorHAnsi" w:eastAsiaTheme="majorEastAsia" w:hAnsiTheme="majorHAnsi" w:cstheme="majorBidi"/>
      <w:b/>
      <w:bCs/>
      <w:color w:val="4F81BD" w:themeColor="accent1"/>
      <w:sz w:val="26"/>
      <w:szCs w:val="26"/>
    </w:rPr>
  </w:style>
  <w:style w:type="paragraph" w:customStyle="1" w:styleId="literattytul">
    <w:name w:val="literat_tytul"/>
    <w:basedOn w:val="tekstpods"/>
    <w:next w:val="tekstpods"/>
    <w:rsid w:val="004822DE"/>
    <w:pPr>
      <w:keepNext/>
      <w:spacing w:before="650" w:after="446" w:line="240" w:lineRule="auto"/>
      <w:ind w:firstLine="0"/>
      <w:jc w:val="left"/>
    </w:pPr>
    <w:rPr>
      <w:b/>
    </w:rPr>
  </w:style>
  <w:style w:type="paragraph" w:customStyle="1" w:styleId="literatwykaz">
    <w:name w:val="literat_wykaz"/>
    <w:basedOn w:val="tekstpods"/>
    <w:next w:val="tekstpods"/>
    <w:rsid w:val="004822DE"/>
    <w:pPr>
      <w:ind w:firstLine="0"/>
    </w:pPr>
    <w:rPr>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820288">
      <w:bodyDiv w:val="1"/>
      <w:marLeft w:val="0"/>
      <w:marRight w:val="0"/>
      <w:marTop w:val="0"/>
      <w:marBottom w:val="0"/>
      <w:divBdr>
        <w:top w:val="none" w:sz="0" w:space="0" w:color="auto"/>
        <w:left w:val="none" w:sz="0" w:space="0" w:color="auto"/>
        <w:bottom w:val="none" w:sz="0" w:space="0" w:color="auto"/>
        <w:right w:val="none" w:sz="0" w:space="0" w:color="auto"/>
      </w:divBdr>
      <w:divsChild>
        <w:div w:id="853609943">
          <w:marLeft w:val="0"/>
          <w:marRight w:val="0"/>
          <w:marTop w:val="0"/>
          <w:marBottom w:val="0"/>
          <w:divBdr>
            <w:top w:val="none" w:sz="0" w:space="0" w:color="auto"/>
            <w:left w:val="none" w:sz="0" w:space="0" w:color="auto"/>
            <w:bottom w:val="none" w:sz="0" w:space="0" w:color="auto"/>
            <w:right w:val="none" w:sz="0" w:space="0" w:color="auto"/>
          </w:divBdr>
          <w:divsChild>
            <w:div w:id="1880047802">
              <w:marLeft w:val="0"/>
              <w:marRight w:val="0"/>
              <w:marTop w:val="0"/>
              <w:marBottom w:val="0"/>
              <w:divBdr>
                <w:top w:val="none" w:sz="0" w:space="0" w:color="auto"/>
                <w:left w:val="none" w:sz="0" w:space="0" w:color="auto"/>
                <w:bottom w:val="none" w:sz="0" w:space="0" w:color="auto"/>
                <w:right w:val="none" w:sz="0" w:space="0" w:color="auto"/>
              </w:divBdr>
              <w:divsChild>
                <w:div w:id="1137139011">
                  <w:marLeft w:val="0"/>
                  <w:marRight w:val="0"/>
                  <w:marTop w:val="0"/>
                  <w:marBottom w:val="0"/>
                  <w:divBdr>
                    <w:top w:val="none" w:sz="0" w:space="0" w:color="auto"/>
                    <w:left w:val="none" w:sz="0" w:space="0" w:color="auto"/>
                    <w:bottom w:val="none" w:sz="0" w:space="0" w:color="auto"/>
                    <w:right w:val="none" w:sz="0" w:space="0" w:color="auto"/>
                  </w:divBdr>
                  <w:divsChild>
                    <w:div w:id="1188179836">
                      <w:marLeft w:val="0"/>
                      <w:marRight w:val="0"/>
                      <w:marTop w:val="0"/>
                      <w:marBottom w:val="0"/>
                      <w:divBdr>
                        <w:top w:val="none" w:sz="0" w:space="0" w:color="auto"/>
                        <w:left w:val="none" w:sz="0" w:space="0" w:color="auto"/>
                        <w:bottom w:val="none" w:sz="0" w:space="0" w:color="auto"/>
                        <w:right w:val="none" w:sz="0" w:space="0" w:color="auto"/>
                      </w:divBdr>
                      <w:divsChild>
                        <w:div w:id="890265582">
                          <w:marLeft w:val="0"/>
                          <w:marRight w:val="0"/>
                          <w:marTop w:val="0"/>
                          <w:marBottom w:val="0"/>
                          <w:divBdr>
                            <w:top w:val="none" w:sz="0" w:space="0" w:color="auto"/>
                            <w:left w:val="none" w:sz="0" w:space="0" w:color="auto"/>
                            <w:bottom w:val="none" w:sz="0" w:space="0" w:color="auto"/>
                            <w:right w:val="none" w:sz="0" w:space="0" w:color="auto"/>
                          </w:divBdr>
                          <w:divsChild>
                            <w:div w:id="858929541">
                              <w:marLeft w:val="0"/>
                              <w:marRight w:val="0"/>
                              <w:marTop w:val="0"/>
                              <w:marBottom w:val="0"/>
                              <w:divBdr>
                                <w:top w:val="none" w:sz="0" w:space="0" w:color="auto"/>
                                <w:left w:val="none" w:sz="0" w:space="0" w:color="auto"/>
                                <w:bottom w:val="none" w:sz="0" w:space="0" w:color="auto"/>
                                <w:right w:val="none" w:sz="0" w:space="0" w:color="auto"/>
                              </w:divBdr>
                              <w:divsChild>
                                <w:div w:id="2132244963">
                                  <w:marLeft w:val="0"/>
                                  <w:marRight w:val="0"/>
                                  <w:marTop w:val="0"/>
                                  <w:marBottom w:val="0"/>
                                  <w:divBdr>
                                    <w:top w:val="none" w:sz="0" w:space="0" w:color="auto"/>
                                    <w:left w:val="none" w:sz="0" w:space="0" w:color="auto"/>
                                    <w:bottom w:val="none" w:sz="0" w:space="0" w:color="auto"/>
                                    <w:right w:val="none" w:sz="0" w:space="0" w:color="auto"/>
                                  </w:divBdr>
                                  <w:divsChild>
                                    <w:div w:id="1665935846">
                                      <w:marLeft w:val="0"/>
                                      <w:marRight w:val="0"/>
                                      <w:marTop w:val="0"/>
                                      <w:marBottom w:val="0"/>
                                      <w:divBdr>
                                        <w:top w:val="none" w:sz="0" w:space="0" w:color="auto"/>
                                        <w:left w:val="none" w:sz="0" w:space="0" w:color="auto"/>
                                        <w:bottom w:val="none" w:sz="0" w:space="0" w:color="auto"/>
                                        <w:right w:val="none" w:sz="0" w:space="0" w:color="auto"/>
                                      </w:divBdr>
                                    </w:div>
                                    <w:div w:id="1998259680">
                                      <w:marLeft w:val="0"/>
                                      <w:marRight w:val="0"/>
                                      <w:marTop w:val="0"/>
                                      <w:marBottom w:val="0"/>
                                      <w:divBdr>
                                        <w:top w:val="none" w:sz="0" w:space="0" w:color="auto"/>
                                        <w:left w:val="none" w:sz="0" w:space="0" w:color="auto"/>
                                        <w:bottom w:val="none" w:sz="0" w:space="0" w:color="auto"/>
                                        <w:right w:val="none" w:sz="0" w:space="0" w:color="auto"/>
                                      </w:divBdr>
                                      <w:divsChild>
                                        <w:div w:id="204024461">
                                          <w:marLeft w:val="0"/>
                                          <w:marRight w:val="0"/>
                                          <w:marTop w:val="0"/>
                                          <w:marBottom w:val="0"/>
                                          <w:divBdr>
                                            <w:top w:val="none" w:sz="0" w:space="0" w:color="auto"/>
                                            <w:left w:val="none" w:sz="0" w:space="0" w:color="auto"/>
                                            <w:bottom w:val="none" w:sz="0" w:space="0" w:color="auto"/>
                                            <w:right w:val="none" w:sz="0" w:space="0" w:color="auto"/>
                                          </w:divBdr>
                                          <w:divsChild>
                                            <w:div w:id="772166892">
                                              <w:marLeft w:val="0"/>
                                              <w:marRight w:val="0"/>
                                              <w:marTop w:val="0"/>
                                              <w:marBottom w:val="0"/>
                                              <w:divBdr>
                                                <w:top w:val="none" w:sz="0" w:space="0" w:color="auto"/>
                                                <w:left w:val="none" w:sz="0" w:space="0" w:color="auto"/>
                                                <w:bottom w:val="none" w:sz="0" w:space="0" w:color="auto"/>
                                                <w:right w:val="none" w:sz="0" w:space="0" w:color="auto"/>
                                              </w:divBdr>
                                              <w:divsChild>
                                                <w:div w:id="122718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25317">
                                          <w:marLeft w:val="0"/>
                                          <w:marRight w:val="0"/>
                                          <w:marTop w:val="0"/>
                                          <w:marBottom w:val="0"/>
                                          <w:divBdr>
                                            <w:top w:val="none" w:sz="0" w:space="0" w:color="auto"/>
                                            <w:left w:val="none" w:sz="0" w:space="0" w:color="auto"/>
                                            <w:bottom w:val="none" w:sz="0" w:space="0" w:color="auto"/>
                                            <w:right w:val="none" w:sz="0" w:space="0" w:color="auto"/>
                                          </w:divBdr>
                                          <w:divsChild>
                                            <w:div w:id="72824409">
                                              <w:marLeft w:val="0"/>
                                              <w:marRight w:val="0"/>
                                              <w:marTop w:val="0"/>
                                              <w:marBottom w:val="0"/>
                                              <w:divBdr>
                                                <w:top w:val="none" w:sz="0" w:space="0" w:color="auto"/>
                                                <w:left w:val="none" w:sz="0" w:space="0" w:color="auto"/>
                                                <w:bottom w:val="none" w:sz="0" w:space="0" w:color="auto"/>
                                                <w:right w:val="none" w:sz="0" w:space="0" w:color="auto"/>
                                              </w:divBdr>
                                              <w:divsChild>
                                                <w:div w:id="14604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70954">
                                          <w:marLeft w:val="0"/>
                                          <w:marRight w:val="0"/>
                                          <w:marTop w:val="0"/>
                                          <w:marBottom w:val="0"/>
                                          <w:divBdr>
                                            <w:top w:val="none" w:sz="0" w:space="0" w:color="auto"/>
                                            <w:left w:val="none" w:sz="0" w:space="0" w:color="auto"/>
                                            <w:bottom w:val="none" w:sz="0" w:space="0" w:color="auto"/>
                                            <w:right w:val="none" w:sz="0" w:space="0" w:color="auto"/>
                                          </w:divBdr>
                                          <w:divsChild>
                                            <w:div w:id="1014501081">
                                              <w:marLeft w:val="0"/>
                                              <w:marRight w:val="0"/>
                                              <w:marTop w:val="0"/>
                                              <w:marBottom w:val="0"/>
                                              <w:divBdr>
                                                <w:top w:val="none" w:sz="0" w:space="0" w:color="auto"/>
                                                <w:left w:val="none" w:sz="0" w:space="0" w:color="auto"/>
                                                <w:bottom w:val="none" w:sz="0" w:space="0" w:color="auto"/>
                                                <w:right w:val="none" w:sz="0" w:space="0" w:color="auto"/>
                                              </w:divBdr>
                                              <w:divsChild>
                                                <w:div w:id="134790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87182">
                                          <w:marLeft w:val="0"/>
                                          <w:marRight w:val="0"/>
                                          <w:marTop w:val="0"/>
                                          <w:marBottom w:val="0"/>
                                          <w:divBdr>
                                            <w:top w:val="none" w:sz="0" w:space="0" w:color="auto"/>
                                            <w:left w:val="none" w:sz="0" w:space="0" w:color="auto"/>
                                            <w:bottom w:val="none" w:sz="0" w:space="0" w:color="auto"/>
                                            <w:right w:val="none" w:sz="0" w:space="0" w:color="auto"/>
                                          </w:divBdr>
                                          <w:divsChild>
                                            <w:div w:id="990257733">
                                              <w:marLeft w:val="0"/>
                                              <w:marRight w:val="0"/>
                                              <w:marTop w:val="0"/>
                                              <w:marBottom w:val="0"/>
                                              <w:divBdr>
                                                <w:top w:val="none" w:sz="0" w:space="0" w:color="auto"/>
                                                <w:left w:val="none" w:sz="0" w:space="0" w:color="auto"/>
                                                <w:bottom w:val="none" w:sz="0" w:space="0" w:color="auto"/>
                                                <w:right w:val="none" w:sz="0" w:space="0" w:color="auto"/>
                                              </w:divBdr>
                                              <w:divsChild>
                                                <w:div w:id="57478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70502">
                                          <w:marLeft w:val="0"/>
                                          <w:marRight w:val="0"/>
                                          <w:marTop w:val="0"/>
                                          <w:marBottom w:val="0"/>
                                          <w:divBdr>
                                            <w:top w:val="none" w:sz="0" w:space="0" w:color="auto"/>
                                            <w:left w:val="none" w:sz="0" w:space="0" w:color="auto"/>
                                            <w:bottom w:val="none" w:sz="0" w:space="0" w:color="auto"/>
                                            <w:right w:val="none" w:sz="0" w:space="0" w:color="auto"/>
                                          </w:divBdr>
                                          <w:divsChild>
                                            <w:div w:id="1945650654">
                                              <w:marLeft w:val="0"/>
                                              <w:marRight w:val="0"/>
                                              <w:marTop w:val="0"/>
                                              <w:marBottom w:val="0"/>
                                              <w:divBdr>
                                                <w:top w:val="none" w:sz="0" w:space="0" w:color="auto"/>
                                                <w:left w:val="none" w:sz="0" w:space="0" w:color="auto"/>
                                                <w:bottom w:val="none" w:sz="0" w:space="0" w:color="auto"/>
                                                <w:right w:val="none" w:sz="0" w:space="0" w:color="auto"/>
                                              </w:divBdr>
                                              <w:divsChild>
                                                <w:div w:id="125424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2854322">
      <w:bodyDiv w:val="1"/>
      <w:marLeft w:val="0"/>
      <w:marRight w:val="0"/>
      <w:marTop w:val="0"/>
      <w:marBottom w:val="0"/>
      <w:divBdr>
        <w:top w:val="none" w:sz="0" w:space="0" w:color="auto"/>
        <w:left w:val="none" w:sz="0" w:space="0" w:color="auto"/>
        <w:bottom w:val="none" w:sz="0" w:space="0" w:color="auto"/>
        <w:right w:val="none" w:sz="0" w:space="0" w:color="auto"/>
      </w:divBdr>
    </w:div>
    <w:div w:id="310600895">
      <w:bodyDiv w:val="1"/>
      <w:marLeft w:val="0"/>
      <w:marRight w:val="0"/>
      <w:marTop w:val="0"/>
      <w:marBottom w:val="0"/>
      <w:divBdr>
        <w:top w:val="none" w:sz="0" w:space="0" w:color="auto"/>
        <w:left w:val="none" w:sz="0" w:space="0" w:color="auto"/>
        <w:bottom w:val="none" w:sz="0" w:space="0" w:color="auto"/>
        <w:right w:val="none" w:sz="0" w:space="0" w:color="auto"/>
      </w:divBdr>
      <w:divsChild>
        <w:div w:id="1631594779">
          <w:marLeft w:val="0"/>
          <w:marRight w:val="0"/>
          <w:marTop w:val="0"/>
          <w:marBottom w:val="0"/>
          <w:divBdr>
            <w:top w:val="none" w:sz="0" w:space="0" w:color="auto"/>
            <w:left w:val="none" w:sz="0" w:space="0" w:color="auto"/>
            <w:bottom w:val="none" w:sz="0" w:space="0" w:color="auto"/>
            <w:right w:val="none" w:sz="0" w:space="0" w:color="auto"/>
          </w:divBdr>
          <w:divsChild>
            <w:div w:id="724255664">
              <w:marLeft w:val="0"/>
              <w:marRight w:val="0"/>
              <w:marTop w:val="0"/>
              <w:marBottom w:val="0"/>
              <w:divBdr>
                <w:top w:val="none" w:sz="0" w:space="0" w:color="auto"/>
                <w:left w:val="none" w:sz="0" w:space="0" w:color="auto"/>
                <w:bottom w:val="none" w:sz="0" w:space="0" w:color="auto"/>
                <w:right w:val="none" w:sz="0" w:space="0" w:color="auto"/>
              </w:divBdr>
              <w:divsChild>
                <w:div w:id="141852201">
                  <w:marLeft w:val="0"/>
                  <w:marRight w:val="0"/>
                  <w:marTop w:val="0"/>
                  <w:marBottom w:val="0"/>
                  <w:divBdr>
                    <w:top w:val="none" w:sz="0" w:space="0" w:color="auto"/>
                    <w:left w:val="none" w:sz="0" w:space="0" w:color="auto"/>
                    <w:bottom w:val="none" w:sz="0" w:space="0" w:color="auto"/>
                    <w:right w:val="none" w:sz="0" w:space="0" w:color="auto"/>
                  </w:divBdr>
                  <w:divsChild>
                    <w:div w:id="1344671625">
                      <w:marLeft w:val="0"/>
                      <w:marRight w:val="0"/>
                      <w:marTop w:val="0"/>
                      <w:marBottom w:val="0"/>
                      <w:divBdr>
                        <w:top w:val="none" w:sz="0" w:space="0" w:color="auto"/>
                        <w:left w:val="none" w:sz="0" w:space="0" w:color="auto"/>
                        <w:bottom w:val="none" w:sz="0" w:space="0" w:color="auto"/>
                        <w:right w:val="none" w:sz="0" w:space="0" w:color="auto"/>
                      </w:divBdr>
                      <w:divsChild>
                        <w:div w:id="206576827">
                          <w:marLeft w:val="0"/>
                          <w:marRight w:val="0"/>
                          <w:marTop w:val="0"/>
                          <w:marBottom w:val="0"/>
                          <w:divBdr>
                            <w:top w:val="none" w:sz="0" w:space="0" w:color="auto"/>
                            <w:left w:val="none" w:sz="0" w:space="0" w:color="auto"/>
                            <w:bottom w:val="none" w:sz="0" w:space="0" w:color="auto"/>
                            <w:right w:val="none" w:sz="0" w:space="0" w:color="auto"/>
                          </w:divBdr>
                          <w:divsChild>
                            <w:div w:id="18433212">
                              <w:marLeft w:val="0"/>
                              <w:marRight w:val="0"/>
                              <w:marTop w:val="0"/>
                              <w:marBottom w:val="0"/>
                              <w:divBdr>
                                <w:top w:val="none" w:sz="0" w:space="0" w:color="auto"/>
                                <w:left w:val="none" w:sz="0" w:space="0" w:color="auto"/>
                                <w:bottom w:val="none" w:sz="0" w:space="0" w:color="auto"/>
                                <w:right w:val="none" w:sz="0" w:space="0" w:color="auto"/>
                              </w:divBdr>
                              <w:divsChild>
                                <w:div w:id="1799034841">
                                  <w:marLeft w:val="0"/>
                                  <w:marRight w:val="0"/>
                                  <w:marTop w:val="0"/>
                                  <w:marBottom w:val="0"/>
                                  <w:divBdr>
                                    <w:top w:val="none" w:sz="0" w:space="0" w:color="auto"/>
                                    <w:left w:val="none" w:sz="0" w:space="0" w:color="auto"/>
                                    <w:bottom w:val="none" w:sz="0" w:space="0" w:color="auto"/>
                                    <w:right w:val="none" w:sz="0" w:space="0" w:color="auto"/>
                                  </w:divBdr>
                                  <w:divsChild>
                                    <w:div w:id="1886988404">
                                      <w:marLeft w:val="0"/>
                                      <w:marRight w:val="0"/>
                                      <w:marTop w:val="0"/>
                                      <w:marBottom w:val="0"/>
                                      <w:divBdr>
                                        <w:top w:val="none" w:sz="0" w:space="0" w:color="auto"/>
                                        <w:left w:val="none" w:sz="0" w:space="0" w:color="auto"/>
                                        <w:bottom w:val="none" w:sz="0" w:space="0" w:color="auto"/>
                                        <w:right w:val="none" w:sz="0" w:space="0" w:color="auto"/>
                                      </w:divBdr>
                                      <w:divsChild>
                                        <w:div w:id="190461469">
                                          <w:marLeft w:val="0"/>
                                          <w:marRight w:val="0"/>
                                          <w:marTop w:val="0"/>
                                          <w:marBottom w:val="0"/>
                                          <w:divBdr>
                                            <w:top w:val="none" w:sz="0" w:space="0" w:color="auto"/>
                                            <w:left w:val="none" w:sz="0" w:space="0" w:color="auto"/>
                                            <w:bottom w:val="none" w:sz="0" w:space="0" w:color="auto"/>
                                            <w:right w:val="none" w:sz="0" w:space="0" w:color="auto"/>
                                          </w:divBdr>
                                          <w:divsChild>
                                            <w:div w:id="376245439">
                                              <w:marLeft w:val="0"/>
                                              <w:marRight w:val="0"/>
                                              <w:marTop w:val="0"/>
                                              <w:marBottom w:val="0"/>
                                              <w:divBdr>
                                                <w:top w:val="none" w:sz="0" w:space="0" w:color="auto"/>
                                                <w:left w:val="none" w:sz="0" w:space="0" w:color="auto"/>
                                                <w:bottom w:val="none" w:sz="0" w:space="0" w:color="auto"/>
                                                <w:right w:val="none" w:sz="0" w:space="0" w:color="auto"/>
                                              </w:divBdr>
                                              <w:divsChild>
                                                <w:div w:id="86980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5107">
                                          <w:marLeft w:val="0"/>
                                          <w:marRight w:val="0"/>
                                          <w:marTop w:val="0"/>
                                          <w:marBottom w:val="0"/>
                                          <w:divBdr>
                                            <w:top w:val="none" w:sz="0" w:space="0" w:color="auto"/>
                                            <w:left w:val="none" w:sz="0" w:space="0" w:color="auto"/>
                                            <w:bottom w:val="none" w:sz="0" w:space="0" w:color="auto"/>
                                            <w:right w:val="none" w:sz="0" w:space="0" w:color="auto"/>
                                          </w:divBdr>
                                          <w:divsChild>
                                            <w:div w:id="742726709">
                                              <w:marLeft w:val="0"/>
                                              <w:marRight w:val="0"/>
                                              <w:marTop w:val="0"/>
                                              <w:marBottom w:val="0"/>
                                              <w:divBdr>
                                                <w:top w:val="none" w:sz="0" w:space="0" w:color="auto"/>
                                                <w:left w:val="none" w:sz="0" w:space="0" w:color="auto"/>
                                                <w:bottom w:val="none" w:sz="0" w:space="0" w:color="auto"/>
                                                <w:right w:val="none" w:sz="0" w:space="0" w:color="auto"/>
                                              </w:divBdr>
                                              <w:divsChild>
                                                <w:div w:id="12993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98981">
                                          <w:marLeft w:val="0"/>
                                          <w:marRight w:val="0"/>
                                          <w:marTop w:val="0"/>
                                          <w:marBottom w:val="0"/>
                                          <w:divBdr>
                                            <w:top w:val="none" w:sz="0" w:space="0" w:color="auto"/>
                                            <w:left w:val="none" w:sz="0" w:space="0" w:color="auto"/>
                                            <w:bottom w:val="none" w:sz="0" w:space="0" w:color="auto"/>
                                            <w:right w:val="none" w:sz="0" w:space="0" w:color="auto"/>
                                          </w:divBdr>
                                          <w:divsChild>
                                            <w:div w:id="1513182219">
                                              <w:marLeft w:val="0"/>
                                              <w:marRight w:val="0"/>
                                              <w:marTop w:val="0"/>
                                              <w:marBottom w:val="0"/>
                                              <w:divBdr>
                                                <w:top w:val="none" w:sz="0" w:space="0" w:color="auto"/>
                                                <w:left w:val="none" w:sz="0" w:space="0" w:color="auto"/>
                                                <w:bottom w:val="none" w:sz="0" w:space="0" w:color="auto"/>
                                                <w:right w:val="none" w:sz="0" w:space="0" w:color="auto"/>
                                              </w:divBdr>
                                              <w:divsChild>
                                                <w:div w:id="10284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70440">
                                          <w:marLeft w:val="0"/>
                                          <w:marRight w:val="0"/>
                                          <w:marTop w:val="0"/>
                                          <w:marBottom w:val="0"/>
                                          <w:divBdr>
                                            <w:top w:val="none" w:sz="0" w:space="0" w:color="auto"/>
                                            <w:left w:val="none" w:sz="0" w:space="0" w:color="auto"/>
                                            <w:bottom w:val="none" w:sz="0" w:space="0" w:color="auto"/>
                                            <w:right w:val="none" w:sz="0" w:space="0" w:color="auto"/>
                                          </w:divBdr>
                                          <w:divsChild>
                                            <w:div w:id="1820028114">
                                              <w:marLeft w:val="0"/>
                                              <w:marRight w:val="0"/>
                                              <w:marTop w:val="0"/>
                                              <w:marBottom w:val="0"/>
                                              <w:divBdr>
                                                <w:top w:val="none" w:sz="0" w:space="0" w:color="auto"/>
                                                <w:left w:val="none" w:sz="0" w:space="0" w:color="auto"/>
                                                <w:bottom w:val="none" w:sz="0" w:space="0" w:color="auto"/>
                                                <w:right w:val="none" w:sz="0" w:space="0" w:color="auto"/>
                                              </w:divBdr>
                                              <w:divsChild>
                                                <w:div w:id="8371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664001">
                                          <w:marLeft w:val="0"/>
                                          <w:marRight w:val="0"/>
                                          <w:marTop w:val="0"/>
                                          <w:marBottom w:val="0"/>
                                          <w:divBdr>
                                            <w:top w:val="none" w:sz="0" w:space="0" w:color="auto"/>
                                            <w:left w:val="none" w:sz="0" w:space="0" w:color="auto"/>
                                            <w:bottom w:val="none" w:sz="0" w:space="0" w:color="auto"/>
                                            <w:right w:val="none" w:sz="0" w:space="0" w:color="auto"/>
                                          </w:divBdr>
                                          <w:divsChild>
                                            <w:div w:id="1412312777">
                                              <w:marLeft w:val="0"/>
                                              <w:marRight w:val="0"/>
                                              <w:marTop w:val="0"/>
                                              <w:marBottom w:val="0"/>
                                              <w:divBdr>
                                                <w:top w:val="none" w:sz="0" w:space="0" w:color="auto"/>
                                                <w:left w:val="none" w:sz="0" w:space="0" w:color="auto"/>
                                                <w:bottom w:val="none" w:sz="0" w:space="0" w:color="auto"/>
                                                <w:right w:val="none" w:sz="0" w:space="0" w:color="auto"/>
                                              </w:divBdr>
                                              <w:divsChild>
                                                <w:div w:id="119302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004974">
      <w:bodyDiv w:val="1"/>
      <w:marLeft w:val="0"/>
      <w:marRight w:val="0"/>
      <w:marTop w:val="0"/>
      <w:marBottom w:val="0"/>
      <w:divBdr>
        <w:top w:val="none" w:sz="0" w:space="0" w:color="auto"/>
        <w:left w:val="none" w:sz="0" w:space="0" w:color="auto"/>
        <w:bottom w:val="none" w:sz="0" w:space="0" w:color="auto"/>
        <w:right w:val="none" w:sz="0" w:space="0" w:color="auto"/>
      </w:divBdr>
    </w:div>
    <w:div w:id="1584490201">
      <w:bodyDiv w:val="1"/>
      <w:marLeft w:val="0"/>
      <w:marRight w:val="0"/>
      <w:marTop w:val="0"/>
      <w:marBottom w:val="0"/>
      <w:divBdr>
        <w:top w:val="none" w:sz="0" w:space="0" w:color="auto"/>
        <w:left w:val="none" w:sz="0" w:space="0" w:color="auto"/>
        <w:bottom w:val="none" w:sz="0" w:space="0" w:color="auto"/>
        <w:right w:val="none" w:sz="0" w:space="0" w:color="auto"/>
      </w:divBdr>
    </w:div>
    <w:div w:id="1837498815">
      <w:bodyDiv w:val="1"/>
      <w:marLeft w:val="0"/>
      <w:marRight w:val="0"/>
      <w:marTop w:val="0"/>
      <w:marBottom w:val="0"/>
      <w:divBdr>
        <w:top w:val="none" w:sz="0" w:space="0" w:color="auto"/>
        <w:left w:val="none" w:sz="0" w:space="0" w:color="auto"/>
        <w:bottom w:val="none" w:sz="0" w:space="0" w:color="auto"/>
        <w:right w:val="none" w:sz="0" w:space="0" w:color="auto"/>
      </w:divBdr>
      <w:divsChild>
        <w:div w:id="1034043049">
          <w:marLeft w:val="0"/>
          <w:marRight w:val="0"/>
          <w:marTop w:val="0"/>
          <w:marBottom w:val="0"/>
          <w:divBdr>
            <w:top w:val="none" w:sz="0" w:space="0" w:color="auto"/>
            <w:left w:val="none" w:sz="0" w:space="0" w:color="auto"/>
            <w:bottom w:val="none" w:sz="0" w:space="0" w:color="auto"/>
            <w:right w:val="none" w:sz="0" w:space="0" w:color="auto"/>
          </w:divBdr>
          <w:divsChild>
            <w:div w:id="856191609">
              <w:marLeft w:val="0"/>
              <w:marRight w:val="0"/>
              <w:marTop w:val="0"/>
              <w:marBottom w:val="0"/>
              <w:divBdr>
                <w:top w:val="none" w:sz="0" w:space="0" w:color="auto"/>
                <w:left w:val="none" w:sz="0" w:space="0" w:color="auto"/>
                <w:bottom w:val="none" w:sz="0" w:space="0" w:color="auto"/>
                <w:right w:val="none" w:sz="0" w:space="0" w:color="auto"/>
              </w:divBdr>
              <w:divsChild>
                <w:div w:id="89909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98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hyperlink" Target="http://www.stat.gov.pl" TargetMode="External"/><Relationship Id="rId26" Type="http://schemas.openxmlformats.org/officeDocument/2006/relationships/hyperlink" Target="http://www.iie.org/EN/Research-and-Publications/Publications-and-Reports/IIE-Bookstore/Joint-Degree-Survey-Report-2011" TargetMode="External"/><Relationship Id="rId3" Type="http://schemas.openxmlformats.org/officeDocument/2006/relationships/numbering" Target="numbering.xml"/><Relationship Id="rId21" Type="http://schemas.openxmlformats.org/officeDocument/2006/relationships/hyperlink" Target="http://kongresakademicki.pl/kultura-sieci-andrzej-k-kozminski/"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chart" Target="charts/chart2.xml"/><Relationship Id="rId25" Type="http://schemas.openxmlformats.org/officeDocument/2006/relationships/hyperlink" Target="file:///C:/Users/Monika_/Downloads/COM_2014_29_PL_ACTE_f%20(1).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dx.doi.org/10.1787/eag-2012-en" TargetMode="External"/><Relationship Id="rId20" Type="http://schemas.openxmlformats.org/officeDocument/2006/relationships/hyperlink" Target="http://www.educationsector.org/research/research_show.htm?doc_id=404230" TargetMode="External"/><Relationship Id="rId29" Type="http://schemas.openxmlformats.org/officeDocument/2006/relationships/hyperlink" Target="https://www.coursera.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24" Type="http://schemas.openxmlformats.org/officeDocument/2006/relationships/hyperlink" Target="http://eur-lex.europa.eu/LexUriServ/LexUriServ.do?uri=COM:2013:0499:FIN:PL:PDF" TargetMode="External"/><Relationship Id="rId32" Type="http://schemas.openxmlformats.org/officeDocument/2006/relationships/hyperlink" Target="http://www.dfat.gov.au/about-us/publications/Pages/trade-in-services-australia.aspx" TargetMode="External"/><Relationship Id="rId5" Type="http://schemas.microsoft.com/office/2007/relationships/stylesWithEffects" Target="stylesWithEffects.xml"/><Relationship Id="rId15" Type="http://schemas.openxmlformats.org/officeDocument/2006/relationships/chart" Target="charts/chart1.xml"/><Relationship Id="rId23" Type="http://schemas.openxmlformats.org/officeDocument/2006/relationships/hyperlink" Target="http://www.stat.gov.pl" TargetMode="External"/><Relationship Id="rId28" Type="http://schemas.openxmlformats.org/officeDocument/2006/relationships/hyperlink" Target="http://ec.europa.eu/education/erasmus-for-all/" TargetMode="External"/><Relationship Id="rId36"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hyperlink" Target="http://www.oecd.org/edu/Education-at-a-Glance-2014.pdf" TargetMode="External"/><Relationship Id="rId31" Type="http://schemas.openxmlformats.org/officeDocument/2006/relationships/hyperlink" Target="http://www.globalhighered.org/branchcampuses.php" TargetMode="External"/><Relationship Id="rId4" Type="http://schemas.openxmlformats.org/officeDocument/2006/relationships/styles" Target="styles.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hyperlink" Target="http://europa.eu/rapid/press-release_IP-14-1025_pl.htm" TargetMode="External"/><Relationship Id="rId27" Type="http://schemas.openxmlformats.org/officeDocument/2006/relationships/hyperlink" Target="http://europa.eu/rapid/press-release_MEMO-13-647_en.htm" TargetMode="External"/><Relationship Id="rId30" Type="http://schemas.openxmlformats.org/officeDocument/2006/relationships/hyperlink" Target="http://rankings.ft.com/businessschoolrankings/"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dfat.gov.au/about-us/publications/Pages/trade-in-services-australia.aspx" TargetMode="External"/><Relationship Id="rId2" Type="http://schemas.openxmlformats.org/officeDocument/2006/relationships/hyperlink" Target="http://www.globalhighered.org/branchcampuses.php" TargetMode="External"/><Relationship Id="rId1" Type="http://schemas.openxmlformats.org/officeDocument/2006/relationships/hyperlink" Target="http://www.iie.org/EN/Research-and-Publications/Publications-and-Reports/IIE-Bookstore/Joint-Degree-Survey-Report-2011" TargetMode="External"/><Relationship Id="rId4" Type="http://schemas.openxmlformats.org/officeDocument/2006/relationships/hyperlink" Target="http://rankings.ft.com/businessschoolrankings/"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Arkusz3!$A$1:$A$25</c:f>
              <c:strCache>
                <c:ptCount val="25"/>
                <c:pt idx="0">
                  <c:v>Australia</c:v>
                </c:pt>
                <c:pt idx="1">
                  <c:v>Wielka Brytania</c:v>
                </c:pt>
                <c:pt idx="2">
                  <c:v>Szwajcaria</c:v>
                </c:pt>
                <c:pt idx="3">
                  <c:v>Nowa Zelandia</c:v>
                </c:pt>
                <c:pt idx="4">
                  <c:v>Austria</c:v>
                </c:pt>
                <c:pt idx="5">
                  <c:v>Niemcy</c:v>
                </c:pt>
                <c:pt idx="6">
                  <c:v>Belgia</c:v>
                </c:pt>
                <c:pt idx="7">
                  <c:v>Kanada</c:v>
                </c:pt>
                <c:pt idx="8">
                  <c:v>Dania</c:v>
                </c:pt>
                <c:pt idx="9">
                  <c:v>Holandia</c:v>
                </c:pt>
                <c:pt idx="10">
                  <c:v>Szwecja</c:v>
                </c:pt>
                <c:pt idx="11">
                  <c:v>Irlandia</c:v>
                </c:pt>
                <c:pt idx="12">
                  <c:v>Islandia</c:v>
                </c:pt>
                <c:pt idx="13">
                  <c:v>Finlandia</c:v>
                </c:pt>
                <c:pt idx="14">
                  <c:v>Portugalia</c:v>
                </c:pt>
                <c:pt idx="15">
                  <c:v>Węgry</c:v>
                </c:pt>
                <c:pt idx="16">
                  <c:v>Słowacja</c:v>
                </c:pt>
                <c:pt idx="17">
                  <c:v>USA</c:v>
                </c:pt>
                <c:pt idx="18">
                  <c:v>Japonia</c:v>
                </c:pt>
                <c:pt idx="19">
                  <c:v>Hiszpania</c:v>
                </c:pt>
                <c:pt idx="20">
                  <c:v>Estonia</c:v>
                </c:pt>
                <c:pt idx="21">
                  <c:v>Słowenia</c:v>
                </c:pt>
                <c:pt idx="22">
                  <c:v>Norwegia</c:v>
                </c:pt>
                <c:pt idx="23">
                  <c:v>Polska</c:v>
                </c:pt>
                <c:pt idx="24">
                  <c:v>Chile</c:v>
                </c:pt>
              </c:strCache>
            </c:strRef>
          </c:cat>
          <c:val>
            <c:numRef>
              <c:f>Arkusz3!$B$1:$B$25</c:f>
              <c:numCache>
                <c:formatCode>0.00</c:formatCode>
                <c:ptCount val="25"/>
                <c:pt idx="0">
                  <c:v>18.3</c:v>
                </c:pt>
                <c:pt idx="1">
                  <c:v>17.14</c:v>
                </c:pt>
                <c:pt idx="2">
                  <c:v>16.5</c:v>
                </c:pt>
                <c:pt idx="3" formatCode="General">
                  <c:v>15.79</c:v>
                </c:pt>
                <c:pt idx="4">
                  <c:v>15.42</c:v>
                </c:pt>
                <c:pt idx="5">
                  <c:v>9.6</c:v>
                </c:pt>
                <c:pt idx="6" formatCode="General">
                  <c:v>8.99</c:v>
                </c:pt>
                <c:pt idx="7" formatCode="General">
                  <c:v>8.16</c:v>
                </c:pt>
                <c:pt idx="8" formatCode="General">
                  <c:v>8.1300000000000008</c:v>
                </c:pt>
                <c:pt idx="9" formatCode="General">
                  <c:v>7.25</c:v>
                </c:pt>
                <c:pt idx="10" formatCode="General">
                  <c:v>6.32</c:v>
                </c:pt>
                <c:pt idx="11" formatCode="General">
                  <c:v>5.76</c:v>
                </c:pt>
                <c:pt idx="12">
                  <c:v>5.08</c:v>
                </c:pt>
                <c:pt idx="13" formatCode="General">
                  <c:v>5.0599999999999996</c:v>
                </c:pt>
                <c:pt idx="14" formatCode="General">
                  <c:v>4.75</c:v>
                </c:pt>
                <c:pt idx="15" formatCode="General">
                  <c:v>4.5999999999999996</c:v>
                </c:pt>
                <c:pt idx="16">
                  <c:v>4.09</c:v>
                </c:pt>
                <c:pt idx="17" formatCode="General">
                  <c:v>3.53</c:v>
                </c:pt>
                <c:pt idx="18" formatCode="General">
                  <c:v>3.51</c:v>
                </c:pt>
                <c:pt idx="19" formatCode="General">
                  <c:v>2.84</c:v>
                </c:pt>
                <c:pt idx="20" formatCode="General">
                  <c:v>2.33</c:v>
                </c:pt>
                <c:pt idx="21" formatCode="General">
                  <c:v>2.27</c:v>
                </c:pt>
                <c:pt idx="22" formatCode="General">
                  <c:v>1.26</c:v>
                </c:pt>
                <c:pt idx="23" formatCode="General">
                  <c:v>1.17</c:v>
                </c:pt>
                <c:pt idx="24" formatCode="General">
                  <c:v>0.31</c:v>
                </c:pt>
              </c:numCache>
            </c:numRef>
          </c:val>
        </c:ser>
        <c:dLbls>
          <c:showLegendKey val="0"/>
          <c:showVal val="0"/>
          <c:showCatName val="0"/>
          <c:showSerName val="0"/>
          <c:showPercent val="0"/>
          <c:showBubbleSize val="0"/>
        </c:dLbls>
        <c:gapWidth val="150"/>
        <c:axId val="68445696"/>
        <c:axId val="68447232"/>
      </c:barChart>
      <c:catAx>
        <c:axId val="68445696"/>
        <c:scaling>
          <c:orientation val="minMax"/>
        </c:scaling>
        <c:delete val="0"/>
        <c:axPos val="b"/>
        <c:majorTickMark val="out"/>
        <c:minorTickMark val="none"/>
        <c:tickLblPos val="nextTo"/>
        <c:crossAx val="68447232"/>
        <c:crosses val="autoZero"/>
        <c:auto val="1"/>
        <c:lblAlgn val="ctr"/>
        <c:lblOffset val="100"/>
        <c:noMultiLvlLbl val="0"/>
      </c:catAx>
      <c:valAx>
        <c:axId val="68447232"/>
        <c:scaling>
          <c:orientation val="minMax"/>
        </c:scaling>
        <c:delete val="0"/>
        <c:axPos val="l"/>
        <c:majorGridlines/>
        <c:numFmt formatCode="0%" sourceLinked="0"/>
        <c:majorTickMark val="out"/>
        <c:minorTickMark val="none"/>
        <c:tickLblPos val="nextTo"/>
        <c:crossAx val="68445696"/>
        <c:crosses val="autoZero"/>
        <c:crossBetween val="between"/>
        <c:dispUnits>
          <c:builtInUnit val="hundreds"/>
        </c:dispUnits>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Arkusz1!$A$1:$A$18</c:f>
              <c:strCache>
                <c:ptCount val="18"/>
                <c:pt idx="0">
                  <c:v>Tajwan</c:v>
                </c:pt>
                <c:pt idx="1">
                  <c:v>Francja</c:v>
                </c:pt>
                <c:pt idx="2">
                  <c:v>Kanada</c:v>
                </c:pt>
                <c:pt idx="3">
                  <c:v>Kazachstan</c:v>
                </c:pt>
                <c:pt idx="4">
                  <c:v>Turcja</c:v>
                </c:pt>
                <c:pt idx="5">
                  <c:v>Rosja</c:v>
                </c:pt>
                <c:pt idx="6">
                  <c:v>Niemcy</c:v>
                </c:pt>
                <c:pt idx="7">
                  <c:v>Chiny </c:v>
                </c:pt>
                <c:pt idx="8">
                  <c:v>Arabia Saudyjska</c:v>
                </c:pt>
                <c:pt idx="9">
                  <c:v>Czechy</c:v>
                </c:pt>
                <c:pt idx="10">
                  <c:v>USA</c:v>
                </c:pt>
                <c:pt idx="11">
                  <c:v>Litwa</c:v>
                </c:pt>
                <c:pt idx="12">
                  <c:v>Szwecja</c:v>
                </c:pt>
                <c:pt idx="13">
                  <c:v>Hiszpania</c:v>
                </c:pt>
                <c:pt idx="14">
                  <c:v>Norwegia </c:v>
                </c:pt>
                <c:pt idx="15">
                  <c:v>Białoruś</c:v>
                </c:pt>
                <c:pt idx="16">
                  <c:v>Ukraina</c:v>
                </c:pt>
                <c:pt idx="17">
                  <c:v>Pozostałe</c:v>
                </c:pt>
              </c:strCache>
            </c:strRef>
          </c:cat>
          <c:val>
            <c:numRef>
              <c:f>Arkusz1!$B$1:$B$18</c:f>
              <c:numCache>
                <c:formatCode>0.0%</c:formatCode>
                <c:ptCount val="18"/>
                <c:pt idx="0">
                  <c:v>0.01</c:v>
                </c:pt>
                <c:pt idx="1">
                  <c:v>0.01</c:v>
                </c:pt>
                <c:pt idx="2">
                  <c:v>0.01</c:v>
                </c:pt>
                <c:pt idx="3">
                  <c:v>0.01</c:v>
                </c:pt>
                <c:pt idx="4">
                  <c:v>0.02</c:v>
                </c:pt>
                <c:pt idx="5">
                  <c:v>0.02</c:v>
                </c:pt>
                <c:pt idx="6">
                  <c:v>0.02</c:v>
                </c:pt>
                <c:pt idx="7">
                  <c:v>0.02</c:v>
                </c:pt>
                <c:pt idx="8">
                  <c:v>0.02</c:v>
                </c:pt>
                <c:pt idx="9">
                  <c:v>0.02</c:v>
                </c:pt>
                <c:pt idx="10">
                  <c:v>0.02</c:v>
                </c:pt>
                <c:pt idx="11">
                  <c:v>0.03</c:v>
                </c:pt>
                <c:pt idx="12">
                  <c:v>0.03</c:v>
                </c:pt>
                <c:pt idx="13">
                  <c:v>0.04</c:v>
                </c:pt>
                <c:pt idx="14">
                  <c:v>0.04</c:v>
                </c:pt>
                <c:pt idx="15">
                  <c:v>0.1</c:v>
                </c:pt>
                <c:pt idx="16">
                  <c:v>0.42</c:v>
                </c:pt>
                <c:pt idx="17">
                  <c:v>0.14000000000000001</c:v>
                </c:pt>
              </c:numCache>
            </c:numRef>
          </c:val>
        </c:ser>
        <c:dLbls>
          <c:showLegendKey val="0"/>
          <c:showVal val="0"/>
          <c:showCatName val="0"/>
          <c:showSerName val="0"/>
          <c:showPercent val="0"/>
          <c:showBubbleSize val="0"/>
        </c:dLbls>
        <c:gapWidth val="150"/>
        <c:axId val="68426368"/>
        <c:axId val="75321728"/>
      </c:barChart>
      <c:catAx>
        <c:axId val="68426368"/>
        <c:scaling>
          <c:orientation val="minMax"/>
        </c:scaling>
        <c:delete val="0"/>
        <c:axPos val="b"/>
        <c:majorTickMark val="out"/>
        <c:minorTickMark val="none"/>
        <c:tickLblPos val="nextTo"/>
        <c:crossAx val="75321728"/>
        <c:crosses val="autoZero"/>
        <c:auto val="1"/>
        <c:lblAlgn val="ctr"/>
        <c:lblOffset val="100"/>
        <c:noMultiLvlLbl val="0"/>
      </c:catAx>
      <c:valAx>
        <c:axId val="75321728"/>
        <c:scaling>
          <c:orientation val="minMax"/>
        </c:scaling>
        <c:delete val="0"/>
        <c:axPos val="l"/>
        <c:majorGridlines/>
        <c:numFmt formatCode="0%" sourceLinked="0"/>
        <c:majorTickMark val="out"/>
        <c:minorTickMark val="none"/>
        <c:tickLblPos val="nextTo"/>
        <c:crossAx val="68426368"/>
        <c:crosses val="autoZero"/>
        <c:crossBetween val="between"/>
      </c:valAx>
    </c:plotArea>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CCCA5F-536E-448B-9FF6-EC279C9F471E}" type="doc">
      <dgm:prSet loTypeId="urn:microsoft.com/office/officeart/2005/8/layout/hProcess9" loCatId="process" qsTypeId="urn:microsoft.com/office/officeart/2005/8/quickstyle/simple1" qsCatId="simple" csTypeId="urn:microsoft.com/office/officeart/2005/8/colors/accent1_2" csCatId="accent1" phldr="1"/>
      <dgm:spPr/>
      <dgm:t>
        <a:bodyPr/>
        <a:lstStyle/>
        <a:p>
          <a:endParaRPr lang="pl-PL"/>
        </a:p>
      </dgm:t>
    </dgm:pt>
    <dgm:pt modelId="{93E2D676-D8C8-47FA-AEA3-6E7ADD081A6B}">
      <dgm:prSet phldrT="[Tekst]"/>
      <dgm:spPr/>
      <dgm:t>
        <a:bodyPr/>
        <a:lstStyle/>
        <a:p>
          <a:pPr algn="ctr"/>
          <a:r>
            <a:rPr lang="pl-PL"/>
            <a:t>wyjazdy jednostronne studentów i kadry</a:t>
          </a:r>
        </a:p>
      </dgm:t>
    </dgm:pt>
    <dgm:pt modelId="{216E4A59-32F8-4CA4-92AC-7D9B485AD9C0}" type="parTrans" cxnId="{3D998F6B-95B5-410E-9AA5-7B82B89C8E5F}">
      <dgm:prSet/>
      <dgm:spPr/>
      <dgm:t>
        <a:bodyPr/>
        <a:lstStyle/>
        <a:p>
          <a:pPr algn="ctr"/>
          <a:endParaRPr lang="pl-PL"/>
        </a:p>
      </dgm:t>
    </dgm:pt>
    <dgm:pt modelId="{A7B6D6B5-8B41-4851-ADAF-73979248C603}" type="sibTrans" cxnId="{3D998F6B-95B5-410E-9AA5-7B82B89C8E5F}">
      <dgm:prSet/>
      <dgm:spPr/>
      <dgm:t>
        <a:bodyPr/>
        <a:lstStyle/>
        <a:p>
          <a:pPr algn="ctr"/>
          <a:endParaRPr lang="pl-PL"/>
        </a:p>
      </dgm:t>
    </dgm:pt>
    <dgm:pt modelId="{5CEA1FD2-E7B7-4E1F-873C-B05B35D8E122}">
      <dgm:prSet phldrT="[Tekst]"/>
      <dgm:spPr/>
      <dgm:t>
        <a:bodyPr/>
        <a:lstStyle/>
        <a:p>
          <a:pPr algn="ctr"/>
          <a:r>
            <a:rPr lang="pl-PL"/>
            <a:t>wymiana obustronna</a:t>
          </a:r>
        </a:p>
      </dgm:t>
    </dgm:pt>
    <dgm:pt modelId="{3ED9DDC2-F103-41FC-8492-C94155D2391F}" type="parTrans" cxnId="{F6F53E37-ACE3-410D-B550-0FE78E5CF082}">
      <dgm:prSet/>
      <dgm:spPr/>
      <dgm:t>
        <a:bodyPr/>
        <a:lstStyle/>
        <a:p>
          <a:pPr algn="ctr"/>
          <a:endParaRPr lang="pl-PL"/>
        </a:p>
      </dgm:t>
    </dgm:pt>
    <dgm:pt modelId="{85A1E8D4-F3A5-48F9-91D3-4A0C27F7B587}" type="sibTrans" cxnId="{F6F53E37-ACE3-410D-B550-0FE78E5CF082}">
      <dgm:prSet/>
      <dgm:spPr/>
      <dgm:t>
        <a:bodyPr/>
        <a:lstStyle/>
        <a:p>
          <a:pPr algn="ctr"/>
          <a:endParaRPr lang="pl-PL"/>
        </a:p>
      </dgm:t>
    </dgm:pt>
    <dgm:pt modelId="{2B64E106-FCA7-468B-9F90-506D55A76906}">
      <dgm:prSet phldrT="[Tekst]"/>
      <dgm:spPr/>
      <dgm:t>
        <a:bodyPr/>
        <a:lstStyle/>
        <a:p>
          <a:pPr algn="ctr"/>
          <a:r>
            <a:rPr lang="pl-PL"/>
            <a:t>wspólne programy studiów i projekty badawcze</a:t>
          </a:r>
        </a:p>
      </dgm:t>
    </dgm:pt>
    <dgm:pt modelId="{B9FEEABC-AA05-4326-B98D-057C0806BFCC}" type="parTrans" cxnId="{264EB303-787A-4E44-8389-174D934C66AF}">
      <dgm:prSet/>
      <dgm:spPr/>
      <dgm:t>
        <a:bodyPr/>
        <a:lstStyle/>
        <a:p>
          <a:pPr algn="ctr"/>
          <a:endParaRPr lang="pl-PL"/>
        </a:p>
      </dgm:t>
    </dgm:pt>
    <dgm:pt modelId="{69473A46-C6BA-4A5E-856D-6554BC2EB042}" type="sibTrans" cxnId="{264EB303-787A-4E44-8389-174D934C66AF}">
      <dgm:prSet/>
      <dgm:spPr/>
      <dgm:t>
        <a:bodyPr/>
        <a:lstStyle/>
        <a:p>
          <a:pPr algn="ctr"/>
          <a:endParaRPr lang="pl-PL"/>
        </a:p>
      </dgm:t>
    </dgm:pt>
    <dgm:pt modelId="{413ABB0C-9A28-4A87-B16F-4343E08C6321}">
      <dgm:prSet/>
      <dgm:spPr/>
      <dgm:t>
        <a:bodyPr/>
        <a:lstStyle/>
        <a:p>
          <a:pPr algn="ctr"/>
          <a:r>
            <a:rPr lang="pl-PL"/>
            <a:t>kształcenie na odległość</a:t>
          </a:r>
        </a:p>
      </dgm:t>
    </dgm:pt>
    <dgm:pt modelId="{3BF9BCE0-FEC6-4847-AF79-EF5AF8D44F42}" type="parTrans" cxnId="{D81B2833-B469-446F-B580-725F0334979F}">
      <dgm:prSet/>
      <dgm:spPr/>
      <dgm:t>
        <a:bodyPr/>
        <a:lstStyle/>
        <a:p>
          <a:pPr algn="ctr"/>
          <a:endParaRPr lang="pl-PL"/>
        </a:p>
      </dgm:t>
    </dgm:pt>
    <dgm:pt modelId="{AF9652EC-BD54-4006-A87A-267A6C4C19BD}" type="sibTrans" cxnId="{D81B2833-B469-446F-B580-725F0334979F}">
      <dgm:prSet/>
      <dgm:spPr/>
      <dgm:t>
        <a:bodyPr/>
        <a:lstStyle/>
        <a:p>
          <a:pPr algn="ctr"/>
          <a:endParaRPr lang="pl-PL"/>
        </a:p>
      </dgm:t>
    </dgm:pt>
    <dgm:pt modelId="{5F1E9AA1-AA78-4E37-A596-816849B1F1C2}">
      <dgm:prSet/>
      <dgm:spPr/>
      <dgm:t>
        <a:bodyPr/>
        <a:lstStyle/>
        <a:p>
          <a:pPr algn="ctr"/>
          <a:r>
            <a:rPr lang="pl-PL"/>
            <a:t>kampusy off-shore</a:t>
          </a:r>
        </a:p>
      </dgm:t>
    </dgm:pt>
    <dgm:pt modelId="{2D70A712-75E6-4CBE-BC00-5E9016A9AD06}" type="parTrans" cxnId="{D70F8405-A071-4B4E-9479-8B0B88193AFE}">
      <dgm:prSet/>
      <dgm:spPr/>
      <dgm:t>
        <a:bodyPr/>
        <a:lstStyle/>
        <a:p>
          <a:pPr algn="ctr"/>
          <a:endParaRPr lang="pl-PL"/>
        </a:p>
      </dgm:t>
    </dgm:pt>
    <dgm:pt modelId="{EB5C438B-6298-4729-88A5-3BBC83ABF8E8}" type="sibTrans" cxnId="{D70F8405-A071-4B4E-9479-8B0B88193AFE}">
      <dgm:prSet/>
      <dgm:spPr/>
      <dgm:t>
        <a:bodyPr/>
        <a:lstStyle/>
        <a:p>
          <a:pPr algn="ctr"/>
          <a:endParaRPr lang="pl-PL"/>
        </a:p>
      </dgm:t>
    </dgm:pt>
    <dgm:pt modelId="{D57C8E18-8D9A-48EE-B14F-D6F7987EF28E}" type="pres">
      <dgm:prSet presAssocID="{15CCCA5F-536E-448B-9FF6-EC279C9F471E}" presName="CompostProcess" presStyleCnt="0">
        <dgm:presLayoutVars>
          <dgm:dir/>
          <dgm:resizeHandles val="exact"/>
        </dgm:presLayoutVars>
      </dgm:prSet>
      <dgm:spPr/>
      <dgm:t>
        <a:bodyPr/>
        <a:lstStyle/>
        <a:p>
          <a:endParaRPr lang="pl-PL"/>
        </a:p>
      </dgm:t>
    </dgm:pt>
    <dgm:pt modelId="{96349AD6-6117-44E6-945A-6250F38066B8}" type="pres">
      <dgm:prSet presAssocID="{15CCCA5F-536E-448B-9FF6-EC279C9F471E}" presName="arrow" presStyleLbl="bgShp" presStyleIdx="0" presStyleCnt="1"/>
      <dgm:spPr/>
    </dgm:pt>
    <dgm:pt modelId="{85C7961A-76C0-4D21-8BA8-1F2A7EBB63B8}" type="pres">
      <dgm:prSet presAssocID="{15CCCA5F-536E-448B-9FF6-EC279C9F471E}" presName="linearProcess" presStyleCnt="0"/>
      <dgm:spPr/>
    </dgm:pt>
    <dgm:pt modelId="{C770183A-763F-4F6F-BA32-52BF20AA793F}" type="pres">
      <dgm:prSet presAssocID="{93E2D676-D8C8-47FA-AEA3-6E7ADD081A6B}" presName="textNode" presStyleLbl="node1" presStyleIdx="0" presStyleCnt="5">
        <dgm:presLayoutVars>
          <dgm:bulletEnabled val="1"/>
        </dgm:presLayoutVars>
      </dgm:prSet>
      <dgm:spPr/>
      <dgm:t>
        <a:bodyPr/>
        <a:lstStyle/>
        <a:p>
          <a:endParaRPr lang="pl-PL"/>
        </a:p>
      </dgm:t>
    </dgm:pt>
    <dgm:pt modelId="{2A61E4D9-C388-422B-9868-00B1014F272C}" type="pres">
      <dgm:prSet presAssocID="{A7B6D6B5-8B41-4851-ADAF-73979248C603}" presName="sibTrans" presStyleCnt="0"/>
      <dgm:spPr/>
    </dgm:pt>
    <dgm:pt modelId="{1EB0DE8E-935E-4C2C-8DE6-A07A96071CE3}" type="pres">
      <dgm:prSet presAssocID="{5CEA1FD2-E7B7-4E1F-873C-B05B35D8E122}" presName="textNode" presStyleLbl="node1" presStyleIdx="1" presStyleCnt="5">
        <dgm:presLayoutVars>
          <dgm:bulletEnabled val="1"/>
        </dgm:presLayoutVars>
      </dgm:prSet>
      <dgm:spPr/>
      <dgm:t>
        <a:bodyPr/>
        <a:lstStyle/>
        <a:p>
          <a:endParaRPr lang="pl-PL"/>
        </a:p>
      </dgm:t>
    </dgm:pt>
    <dgm:pt modelId="{A7F58550-DC3B-441C-810B-55F24D955E94}" type="pres">
      <dgm:prSet presAssocID="{85A1E8D4-F3A5-48F9-91D3-4A0C27F7B587}" presName="sibTrans" presStyleCnt="0"/>
      <dgm:spPr/>
    </dgm:pt>
    <dgm:pt modelId="{9C7ADA00-DB3F-4DD5-94FF-26A5DD6F25EA}" type="pres">
      <dgm:prSet presAssocID="{2B64E106-FCA7-468B-9F90-506D55A76906}" presName="textNode" presStyleLbl="node1" presStyleIdx="2" presStyleCnt="5">
        <dgm:presLayoutVars>
          <dgm:bulletEnabled val="1"/>
        </dgm:presLayoutVars>
      </dgm:prSet>
      <dgm:spPr/>
      <dgm:t>
        <a:bodyPr/>
        <a:lstStyle/>
        <a:p>
          <a:endParaRPr lang="pl-PL"/>
        </a:p>
      </dgm:t>
    </dgm:pt>
    <dgm:pt modelId="{73759F77-6665-4CB0-AEC9-2B559FEC3EC5}" type="pres">
      <dgm:prSet presAssocID="{69473A46-C6BA-4A5E-856D-6554BC2EB042}" presName="sibTrans" presStyleCnt="0"/>
      <dgm:spPr/>
    </dgm:pt>
    <dgm:pt modelId="{09466461-1C0E-4437-9AB4-4D43C7142B6E}" type="pres">
      <dgm:prSet presAssocID="{413ABB0C-9A28-4A87-B16F-4343E08C6321}" presName="textNode" presStyleLbl="node1" presStyleIdx="3" presStyleCnt="5">
        <dgm:presLayoutVars>
          <dgm:bulletEnabled val="1"/>
        </dgm:presLayoutVars>
      </dgm:prSet>
      <dgm:spPr/>
      <dgm:t>
        <a:bodyPr/>
        <a:lstStyle/>
        <a:p>
          <a:endParaRPr lang="pl-PL"/>
        </a:p>
      </dgm:t>
    </dgm:pt>
    <dgm:pt modelId="{6A9D9DAD-5CE5-497A-BCB1-425902449F0F}" type="pres">
      <dgm:prSet presAssocID="{AF9652EC-BD54-4006-A87A-267A6C4C19BD}" presName="sibTrans" presStyleCnt="0"/>
      <dgm:spPr/>
    </dgm:pt>
    <dgm:pt modelId="{300662D3-0789-4F22-8C1D-ECBD06654D64}" type="pres">
      <dgm:prSet presAssocID="{5F1E9AA1-AA78-4E37-A596-816849B1F1C2}" presName="textNode" presStyleLbl="node1" presStyleIdx="4" presStyleCnt="5">
        <dgm:presLayoutVars>
          <dgm:bulletEnabled val="1"/>
        </dgm:presLayoutVars>
      </dgm:prSet>
      <dgm:spPr/>
      <dgm:t>
        <a:bodyPr/>
        <a:lstStyle/>
        <a:p>
          <a:endParaRPr lang="pl-PL"/>
        </a:p>
      </dgm:t>
    </dgm:pt>
  </dgm:ptLst>
  <dgm:cxnLst>
    <dgm:cxn modelId="{94E2A919-914B-43AB-9DB1-0506B375B427}" type="presOf" srcId="{5F1E9AA1-AA78-4E37-A596-816849B1F1C2}" destId="{300662D3-0789-4F22-8C1D-ECBD06654D64}" srcOrd="0" destOrd="0" presId="urn:microsoft.com/office/officeart/2005/8/layout/hProcess9"/>
    <dgm:cxn modelId="{D70F8405-A071-4B4E-9479-8B0B88193AFE}" srcId="{15CCCA5F-536E-448B-9FF6-EC279C9F471E}" destId="{5F1E9AA1-AA78-4E37-A596-816849B1F1C2}" srcOrd="4" destOrd="0" parTransId="{2D70A712-75E6-4CBE-BC00-5E9016A9AD06}" sibTransId="{EB5C438B-6298-4729-88A5-3BBC83ABF8E8}"/>
    <dgm:cxn modelId="{F6F53E37-ACE3-410D-B550-0FE78E5CF082}" srcId="{15CCCA5F-536E-448B-9FF6-EC279C9F471E}" destId="{5CEA1FD2-E7B7-4E1F-873C-B05B35D8E122}" srcOrd="1" destOrd="0" parTransId="{3ED9DDC2-F103-41FC-8492-C94155D2391F}" sibTransId="{85A1E8D4-F3A5-48F9-91D3-4A0C27F7B587}"/>
    <dgm:cxn modelId="{83C0FDA1-6898-4C91-9AB9-07365E6695E0}" type="presOf" srcId="{413ABB0C-9A28-4A87-B16F-4343E08C6321}" destId="{09466461-1C0E-4437-9AB4-4D43C7142B6E}" srcOrd="0" destOrd="0" presId="urn:microsoft.com/office/officeart/2005/8/layout/hProcess9"/>
    <dgm:cxn modelId="{31AE3CE1-C3EE-420C-831E-7A7E709C4560}" type="presOf" srcId="{5CEA1FD2-E7B7-4E1F-873C-B05B35D8E122}" destId="{1EB0DE8E-935E-4C2C-8DE6-A07A96071CE3}" srcOrd="0" destOrd="0" presId="urn:microsoft.com/office/officeart/2005/8/layout/hProcess9"/>
    <dgm:cxn modelId="{CA762DB6-3E2C-413E-9704-F2EF5516E54F}" type="presOf" srcId="{15CCCA5F-536E-448B-9FF6-EC279C9F471E}" destId="{D57C8E18-8D9A-48EE-B14F-D6F7987EF28E}" srcOrd="0" destOrd="0" presId="urn:microsoft.com/office/officeart/2005/8/layout/hProcess9"/>
    <dgm:cxn modelId="{714FBF32-6264-44F4-9504-EEF7A81EB8C9}" type="presOf" srcId="{2B64E106-FCA7-468B-9F90-506D55A76906}" destId="{9C7ADA00-DB3F-4DD5-94FF-26A5DD6F25EA}" srcOrd="0" destOrd="0" presId="urn:microsoft.com/office/officeart/2005/8/layout/hProcess9"/>
    <dgm:cxn modelId="{D81B2833-B469-446F-B580-725F0334979F}" srcId="{15CCCA5F-536E-448B-9FF6-EC279C9F471E}" destId="{413ABB0C-9A28-4A87-B16F-4343E08C6321}" srcOrd="3" destOrd="0" parTransId="{3BF9BCE0-FEC6-4847-AF79-EF5AF8D44F42}" sibTransId="{AF9652EC-BD54-4006-A87A-267A6C4C19BD}"/>
    <dgm:cxn modelId="{3D998F6B-95B5-410E-9AA5-7B82B89C8E5F}" srcId="{15CCCA5F-536E-448B-9FF6-EC279C9F471E}" destId="{93E2D676-D8C8-47FA-AEA3-6E7ADD081A6B}" srcOrd="0" destOrd="0" parTransId="{216E4A59-32F8-4CA4-92AC-7D9B485AD9C0}" sibTransId="{A7B6D6B5-8B41-4851-ADAF-73979248C603}"/>
    <dgm:cxn modelId="{A04558BA-8677-467D-9735-F61511144897}" type="presOf" srcId="{93E2D676-D8C8-47FA-AEA3-6E7ADD081A6B}" destId="{C770183A-763F-4F6F-BA32-52BF20AA793F}" srcOrd="0" destOrd="0" presId="urn:microsoft.com/office/officeart/2005/8/layout/hProcess9"/>
    <dgm:cxn modelId="{264EB303-787A-4E44-8389-174D934C66AF}" srcId="{15CCCA5F-536E-448B-9FF6-EC279C9F471E}" destId="{2B64E106-FCA7-468B-9F90-506D55A76906}" srcOrd="2" destOrd="0" parTransId="{B9FEEABC-AA05-4326-B98D-057C0806BFCC}" sibTransId="{69473A46-C6BA-4A5E-856D-6554BC2EB042}"/>
    <dgm:cxn modelId="{A2EFAB4E-DB02-4D38-BF40-3DB800D4E5EE}" type="presParOf" srcId="{D57C8E18-8D9A-48EE-B14F-D6F7987EF28E}" destId="{96349AD6-6117-44E6-945A-6250F38066B8}" srcOrd="0" destOrd="0" presId="urn:microsoft.com/office/officeart/2005/8/layout/hProcess9"/>
    <dgm:cxn modelId="{8B43D246-28B2-45CA-AA73-EFB1E1C33F89}" type="presParOf" srcId="{D57C8E18-8D9A-48EE-B14F-D6F7987EF28E}" destId="{85C7961A-76C0-4D21-8BA8-1F2A7EBB63B8}" srcOrd="1" destOrd="0" presId="urn:microsoft.com/office/officeart/2005/8/layout/hProcess9"/>
    <dgm:cxn modelId="{5FACF290-D9F8-4BD0-ABBB-312C9C3CE7CC}" type="presParOf" srcId="{85C7961A-76C0-4D21-8BA8-1F2A7EBB63B8}" destId="{C770183A-763F-4F6F-BA32-52BF20AA793F}" srcOrd="0" destOrd="0" presId="urn:microsoft.com/office/officeart/2005/8/layout/hProcess9"/>
    <dgm:cxn modelId="{94220D58-C2AB-4516-8E4E-B4058459574C}" type="presParOf" srcId="{85C7961A-76C0-4D21-8BA8-1F2A7EBB63B8}" destId="{2A61E4D9-C388-422B-9868-00B1014F272C}" srcOrd="1" destOrd="0" presId="urn:microsoft.com/office/officeart/2005/8/layout/hProcess9"/>
    <dgm:cxn modelId="{46186057-EB26-4D01-8DE4-9C818D416A36}" type="presParOf" srcId="{85C7961A-76C0-4D21-8BA8-1F2A7EBB63B8}" destId="{1EB0DE8E-935E-4C2C-8DE6-A07A96071CE3}" srcOrd="2" destOrd="0" presId="urn:microsoft.com/office/officeart/2005/8/layout/hProcess9"/>
    <dgm:cxn modelId="{C5478E54-9A31-4A48-8566-81D59EE472DB}" type="presParOf" srcId="{85C7961A-76C0-4D21-8BA8-1F2A7EBB63B8}" destId="{A7F58550-DC3B-441C-810B-55F24D955E94}" srcOrd="3" destOrd="0" presId="urn:microsoft.com/office/officeart/2005/8/layout/hProcess9"/>
    <dgm:cxn modelId="{49D9F8C5-726C-41B7-8B53-C8735C871016}" type="presParOf" srcId="{85C7961A-76C0-4D21-8BA8-1F2A7EBB63B8}" destId="{9C7ADA00-DB3F-4DD5-94FF-26A5DD6F25EA}" srcOrd="4" destOrd="0" presId="urn:microsoft.com/office/officeart/2005/8/layout/hProcess9"/>
    <dgm:cxn modelId="{992C5BF5-E4DE-4AC7-90F1-D9E06A68E9B7}" type="presParOf" srcId="{85C7961A-76C0-4D21-8BA8-1F2A7EBB63B8}" destId="{73759F77-6665-4CB0-AEC9-2B559FEC3EC5}" srcOrd="5" destOrd="0" presId="urn:microsoft.com/office/officeart/2005/8/layout/hProcess9"/>
    <dgm:cxn modelId="{79A0FA7F-C3E3-4553-8956-EC0A73F40F37}" type="presParOf" srcId="{85C7961A-76C0-4D21-8BA8-1F2A7EBB63B8}" destId="{09466461-1C0E-4437-9AB4-4D43C7142B6E}" srcOrd="6" destOrd="0" presId="urn:microsoft.com/office/officeart/2005/8/layout/hProcess9"/>
    <dgm:cxn modelId="{02490B03-FB13-4DD4-BF0C-EDEB025BEA02}" type="presParOf" srcId="{85C7961A-76C0-4D21-8BA8-1F2A7EBB63B8}" destId="{6A9D9DAD-5CE5-497A-BCB1-425902449F0F}" srcOrd="7" destOrd="0" presId="urn:microsoft.com/office/officeart/2005/8/layout/hProcess9"/>
    <dgm:cxn modelId="{A2C398A7-2577-472C-8661-A1DE667FA3D1}" type="presParOf" srcId="{85C7961A-76C0-4D21-8BA8-1F2A7EBB63B8}" destId="{300662D3-0789-4F22-8C1D-ECBD06654D64}" srcOrd="8" destOrd="0" presId="urn:microsoft.com/office/officeart/2005/8/layout/hProcess9"/>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349AD6-6117-44E6-945A-6250F38066B8}">
      <dsp:nvSpPr>
        <dsp:cNvPr id="0" name=""/>
        <dsp:cNvSpPr/>
      </dsp:nvSpPr>
      <dsp:spPr>
        <a:xfrm>
          <a:off x="416655" y="0"/>
          <a:ext cx="4722100" cy="161314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C770183A-763F-4F6F-BA32-52BF20AA793F}">
      <dsp:nvSpPr>
        <dsp:cNvPr id="0" name=""/>
        <dsp:cNvSpPr/>
      </dsp:nvSpPr>
      <dsp:spPr>
        <a:xfrm>
          <a:off x="2441" y="483942"/>
          <a:ext cx="1067409" cy="64525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t>wyjazdy jednostronne studentów i kadry</a:t>
          </a:r>
        </a:p>
      </dsp:txBody>
      <dsp:txXfrm>
        <a:off x="33940" y="515441"/>
        <a:ext cx="1004411" cy="582258"/>
      </dsp:txXfrm>
    </dsp:sp>
    <dsp:sp modelId="{1EB0DE8E-935E-4C2C-8DE6-A07A96071CE3}">
      <dsp:nvSpPr>
        <dsp:cNvPr id="0" name=""/>
        <dsp:cNvSpPr/>
      </dsp:nvSpPr>
      <dsp:spPr>
        <a:xfrm>
          <a:off x="1123221" y="483942"/>
          <a:ext cx="1067409" cy="64525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t>wymiana obustronna</a:t>
          </a:r>
        </a:p>
      </dsp:txBody>
      <dsp:txXfrm>
        <a:off x="1154720" y="515441"/>
        <a:ext cx="1004411" cy="582258"/>
      </dsp:txXfrm>
    </dsp:sp>
    <dsp:sp modelId="{9C7ADA00-DB3F-4DD5-94FF-26A5DD6F25EA}">
      <dsp:nvSpPr>
        <dsp:cNvPr id="0" name=""/>
        <dsp:cNvSpPr/>
      </dsp:nvSpPr>
      <dsp:spPr>
        <a:xfrm>
          <a:off x="2244001" y="483942"/>
          <a:ext cx="1067409" cy="64525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t>wspólne programy studiów i projekty badawcze</a:t>
          </a:r>
        </a:p>
      </dsp:txBody>
      <dsp:txXfrm>
        <a:off x="2275500" y="515441"/>
        <a:ext cx="1004411" cy="582258"/>
      </dsp:txXfrm>
    </dsp:sp>
    <dsp:sp modelId="{09466461-1C0E-4437-9AB4-4D43C7142B6E}">
      <dsp:nvSpPr>
        <dsp:cNvPr id="0" name=""/>
        <dsp:cNvSpPr/>
      </dsp:nvSpPr>
      <dsp:spPr>
        <a:xfrm>
          <a:off x="3364781" y="483942"/>
          <a:ext cx="1067409" cy="64525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t>kształcenie na odległość</a:t>
          </a:r>
        </a:p>
      </dsp:txBody>
      <dsp:txXfrm>
        <a:off x="3396280" y="515441"/>
        <a:ext cx="1004411" cy="582258"/>
      </dsp:txXfrm>
    </dsp:sp>
    <dsp:sp modelId="{300662D3-0789-4F22-8C1D-ECBD06654D64}">
      <dsp:nvSpPr>
        <dsp:cNvPr id="0" name=""/>
        <dsp:cNvSpPr/>
      </dsp:nvSpPr>
      <dsp:spPr>
        <a:xfrm>
          <a:off x="4485561" y="483942"/>
          <a:ext cx="1067409" cy="64525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t>kampusy off-shore</a:t>
          </a:r>
        </a:p>
      </dsp:txBody>
      <dsp:txXfrm>
        <a:off x="4517060" y="515441"/>
        <a:ext cx="1004411" cy="582258"/>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7B1DA-2377-46F9-8DE5-2E32EB55EEAE}">
  <ds:schemaRefs>
    <ds:schemaRef ds:uri="http://schemas.openxmlformats.org/officeDocument/2006/bibliography"/>
  </ds:schemaRefs>
</ds:datastoreItem>
</file>

<file path=customXml/itemProps2.xml><?xml version="1.0" encoding="utf-8"?>
<ds:datastoreItem xmlns:ds="http://schemas.openxmlformats.org/officeDocument/2006/customXml" ds:itemID="{ED1B838E-07BD-4CF9-A2E1-A22BA1633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22</Pages>
  <Words>7728</Words>
  <Characters>46370</Characters>
  <Application>Microsoft Office Word</Application>
  <DocSecurity>0</DocSecurity>
  <Lines>386</Lines>
  <Paragraphs>107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53991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Magdalena Popowska</cp:lastModifiedBy>
  <cp:revision>6</cp:revision>
  <cp:lastPrinted>2014-01-14T21:24:00Z</cp:lastPrinted>
  <dcterms:created xsi:type="dcterms:W3CDTF">2015-07-05T18:18:00Z</dcterms:created>
  <dcterms:modified xsi:type="dcterms:W3CDTF">2016-02-21T18:50:00Z</dcterms:modified>
</cp:coreProperties>
</file>